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798-20f_airwater.htm"/>
      <w:bookmarkStart w:id="1" w:name="ksea030279820f_airwat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SECTION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1276"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1350" w:right="0" w:hanging="27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 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to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Air Water Ventures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905" w:type="dxa"/>
        <w:jc w:val="left"/>
        <w:tblInd w:w="0" w:type="dxa"/>
        <w:tblLayout w:type="fixed"/>
        <w:tblCellMar>
          <w:top w:w="0" w:type="dxa"/>
          <w:left w:w="0" w:type="dxa"/>
          <w:bottom w:w="28" w:type="dxa"/>
          <w:right w:w="0" w:type="dxa"/>
        </w:tblCellMar>
      </w:tblPr>
      <w:tblGrid>
        <w:gridCol w:w="4460"/>
        <w:gridCol w:w="60"/>
        <w:gridCol w:w="4385"/>
      </w:tblGrid>
      <w:tr>
        <w:trPr/>
        <w:tc>
          <w:tcPr>
            <w:tcW w:w="4460" w:type="dxa"/>
            <w:tcBorders>
              <w:bottom w:val="single" w:sz="12" w:space="0" w:color="000000"/>
            </w:tcBorders>
            <w:vAlign w:val="center"/>
          </w:tcPr>
          <w:p>
            <w:pPr>
              <w:pStyle w:val="TableContents"/>
              <w:bidi w:val="0"/>
              <w:spacing w:before="0" w:after="283"/>
              <w:jc w:val="center"/>
              <w:rPr>
                <w:b/>
              </w:rPr>
            </w:pPr>
            <w:r>
              <w:rPr>
                <w:b/>
              </w:rPr>
              <w:t>Not applicable</w:t>
            </w:r>
          </w:p>
        </w:tc>
        <w:tc>
          <w:tcPr>
            <w:tcW w:w="60" w:type="dxa"/>
            <w:tcBorders/>
            <w:tcMar>
              <w:bottom w:w="0" w:type="dxa"/>
            </w:tcMar>
            <w:vAlign w:val="center"/>
          </w:tcPr>
          <w:p>
            <w:pPr>
              <w:pStyle w:val="TableContents"/>
              <w:bidi w:val="0"/>
              <w:spacing w:before="0" w:after="283"/>
              <w:jc w:val="center"/>
              <w:rPr/>
            </w:pPr>
            <w:r>
              <w:rPr/>
              <w:t> </w:t>
            </w:r>
          </w:p>
        </w:tc>
        <w:tc>
          <w:tcPr>
            <w:tcW w:w="4385" w:type="dxa"/>
            <w:tcBorders>
              <w:bottom w:val="single" w:sz="12" w:space="0" w:color="000000"/>
            </w:tcBorders>
            <w:vAlign w:val="center"/>
          </w:tcPr>
          <w:p>
            <w:pPr>
              <w:pStyle w:val="TableContents"/>
              <w:bidi w:val="0"/>
              <w:spacing w:before="0" w:after="283"/>
              <w:jc w:val="center"/>
              <w:rPr>
                <w:b/>
              </w:rPr>
            </w:pPr>
            <w:r>
              <w:rPr>
                <w:b/>
              </w:rPr>
              <w:t>Cayman Islands</w:t>
            </w:r>
          </w:p>
        </w:tc>
      </w:tr>
      <w:tr>
        <w:trPr/>
        <w:tc>
          <w:tcPr>
            <w:tcW w:w="4460" w:type="dxa"/>
            <w:tcBorders/>
            <w:tcMar>
              <w:bottom w:w="0" w:type="dxa"/>
            </w:tcMar>
            <w:vAlign w:val="center"/>
          </w:tcPr>
          <w:p>
            <w:pPr>
              <w:pStyle w:val="TableContents"/>
              <w:bidi w:val="0"/>
              <w:spacing w:before="0" w:after="283"/>
              <w:jc w:val="center"/>
              <w:rPr/>
            </w:pPr>
            <w:r>
              <w:rPr/>
              <w:t>(Translation of Registrant’s name into English)</w:t>
            </w:r>
          </w:p>
        </w:tc>
        <w:tc>
          <w:tcPr>
            <w:tcW w:w="60" w:type="dxa"/>
            <w:tcBorders/>
            <w:tcMar>
              <w:bottom w:w="0" w:type="dxa"/>
            </w:tcMar>
            <w:vAlign w:val="center"/>
          </w:tcPr>
          <w:p>
            <w:pPr>
              <w:pStyle w:val="TableContents"/>
              <w:bidi w:val="0"/>
              <w:spacing w:before="0" w:after="283"/>
              <w:jc w:val="center"/>
              <w:rPr/>
            </w:pPr>
            <w:r>
              <w:rPr/>
              <w:t> </w:t>
            </w:r>
          </w:p>
        </w:tc>
        <w:tc>
          <w:tcPr>
            <w:tcW w:w="4385" w:type="dxa"/>
            <w:tcBorders/>
            <w:tcMar>
              <w:bottom w:w="0" w:type="dxa"/>
            </w:tcMar>
            <w:vAlign w:val="center"/>
          </w:tcPr>
          <w:p>
            <w:pPr>
              <w:pStyle w:val="TableContents"/>
              <w:bidi w:val="0"/>
              <w:spacing w:before="0" w:after="283"/>
              <w:jc w:val="center"/>
              <w:rPr/>
            </w:pPr>
            <w:r>
              <w:rPr/>
              <w:t>(Jurisdiction of incorporation or organization)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18"/>
        <w:gridCol w:w="60"/>
        <w:gridCol w:w="7027"/>
      </w:tblGrid>
      <w:tr>
        <w:trPr/>
        <w:tc>
          <w:tcPr>
            <w:tcW w:w="3118" w:type="dxa"/>
            <w:tcBorders>
              <w:bottom w:val="single" w:sz="12" w:space="0" w:color="000000"/>
            </w:tcBorders>
            <w:vAlign w:val="center"/>
          </w:tcPr>
          <w:p>
            <w:pPr>
              <w:pStyle w:val="TableContents"/>
              <w:bidi w:val="0"/>
              <w:spacing w:before="0" w:after="283"/>
              <w:jc w:val="center"/>
              <w:rPr/>
            </w:pPr>
            <w:r>
              <w:rPr>
                <w:b/>
              </w:rPr>
              <w:t>c/o Air Water Ventures Ltd</w:t>
              <w:br/>
              <w:t>Unit 3, Kizad KLP FZ, Kizad</w:t>
            </w:r>
            <w:r>
              <w:rPr/>
              <w:t xml:space="preserve"> </w:t>
            </w:r>
            <w:r>
              <w:rPr>
                <w:b/>
              </w:rPr>
              <w:br/>
              <w:t>Abu Dhabi, UAE</w:t>
              <w:br/>
              <w:t>PO Box 109214</w:t>
              <w:br/>
              <w:t>Telephone: +1 305-939-4922</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7027" w:type="dxa"/>
            <w:tcBorders>
              <w:bottom w:val="single" w:sz="12" w:space="0" w:color="000000"/>
            </w:tcBorders>
            <w:vAlign w:val="center"/>
          </w:tcPr>
          <w:p>
            <w:pPr>
              <w:pStyle w:val="TableContents"/>
              <w:bidi w:val="0"/>
              <w:spacing w:before="0" w:after="283"/>
              <w:jc w:val="center"/>
              <w:rPr/>
            </w:pPr>
            <w:r>
              <w:rPr>
                <w:b/>
              </w:rPr>
              <w:t>David Tuerff</w:t>
            </w:r>
            <w:r>
              <w:rPr/>
              <w:t xml:space="preserve"> </w:t>
            </w:r>
            <w:r>
              <w:rPr>
                <w:b/>
              </w:rPr>
              <w:br/>
              <w:t>Chief Financial Officer</w:t>
              <w:br/>
              <w:t>Unit 3, Kizad KLP FZ, Kizad</w:t>
              <w:br/>
              <w:t>Abu Dhabi, UAE</w:t>
              <w:br/>
              <w:t>PO Box 109214</w:t>
              <w:br/>
              <w:t>Telephone: +1 305-939-4922</w:t>
            </w:r>
            <w:r>
              <w:rPr/>
              <w:t xml:space="preserve">  </w:t>
            </w:r>
          </w:p>
        </w:tc>
      </w:tr>
      <w:tr>
        <w:trPr/>
        <w:tc>
          <w:tcPr>
            <w:tcW w:w="3118"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7027" w:type="dxa"/>
            <w:tcBorders/>
            <w:tcMar>
              <w:bottom w:w="0" w:type="dxa"/>
            </w:tcMar>
            <w:vAlign w:val="center"/>
          </w:tcPr>
          <w:p>
            <w:pPr>
              <w:pStyle w:val="TableContents"/>
              <w:bidi w:val="0"/>
              <w:spacing w:before="0" w:after="283"/>
              <w:jc w:val="center"/>
              <w:rPr/>
            </w:pPr>
            <w:r>
              <w:rPr/>
              <w:t>(Name, Telephone, Email and/or Facsimile number and Address of Company Contact Person)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47"/>
        <w:gridCol w:w="60"/>
        <w:gridCol w:w="1839"/>
        <w:gridCol w:w="60"/>
        <w:gridCol w:w="4199"/>
      </w:tblGrid>
      <w:tr>
        <w:trPr/>
        <w:tc>
          <w:tcPr>
            <w:tcW w:w="4047"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9"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199"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47" w:type="dxa"/>
            <w:tcBorders/>
            <w:shd w:fill="CCEEFF" w:val="clear"/>
            <w:tcMar>
              <w:bottom w:w="0" w:type="dxa"/>
            </w:tcMar>
            <w:vAlign w:val="center"/>
          </w:tcPr>
          <w:p>
            <w:pPr>
              <w:pStyle w:val="TableContents"/>
              <w:bidi w:val="0"/>
              <w:spacing w:before="0" w:after="283"/>
              <w:jc w:val="center"/>
              <w:rPr/>
            </w:pPr>
            <w:r>
              <w:rPr/>
              <w:t>Ordinary Shares,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9" w:type="dxa"/>
            <w:tcBorders/>
            <w:shd w:fill="CCEEFF" w:val="clear"/>
            <w:tcMar>
              <w:bottom w:w="0" w:type="dxa"/>
            </w:tcMar>
            <w:vAlign w:val="center"/>
          </w:tcPr>
          <w:p>
            <w:pPr>
              <w:pStyle w:val="TableContents"/>
              <w:bidi w:val="0"/>
              <w:spacing w:before="0" w:after="283"/>
              <w:jc w:val="center"/>
              <w:rPr/>
            </w:pPr>
            <w:r>
              <w:rPr/>
              <w:t>WATR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9"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stock or common stock as of the close of the period covered by the shell company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issuer had 31,639,454 Ordinary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2405"/>
        <w:gridCol w:w="1850"/>
        <w:gridCol w:w="2270"/>
        <w:gridCol w:w="2900"/>
      </w:tblGrid>
      <w:tr>
        <w:trPr/>
        <w:tc>
          <w:tcPr>
            <w:tcW w:w="2405" w:type="dxa"/>
            <w:tcBorders/>
            <w:vAlign w:val="center"/>
          </w:tcPr>
          <w:p>
            <w:pPr>
              <w:pStyle w:val="TableContents"/>
              <w:bidi w:val="0"/>
              <w:spacing w:before="0" w:after="283"/>
              <w:jc w:val="left"/>
              <w:rPr/>
            </w:pPr>
            <w:r>
              <w:rPr/>
              <w:t xml:space="preserve">☐ </w:t>
            </w:r>
            <w:r>
              <w:rPr/>
              <w:t>Large accelerated filer</w:t>
            </w:r>
          </w:p>
        </w:tc>
        <w:tc>
          <w:tcPr>
            <w:tcW w:w="1850" w:type="dxa"/>
            <w:tcBorders/>
            <w:vAlign w:val="center"/>
          </w:tcPr>
          <w:p>
            <w:pPr>
              <w:pStyle w:val="TableContents"/>
              <w:bidi w:val="0"/>
              <w:spacing w:before="0" w:after="283"/>
              <w:jc w:val="both"/>
              <w:rPr/>
            </w:pPr>
            <w:r>
              <w:rPr/>
              <w:t xml:space="preserve">☐ </w:t>
            </w:r>
            <w:r>
              <w:rPr/>
              <w:t>Accelerated filer</w:t>
            </w:r>
          </w:p>
        </w:tc>
        <w:tc>
          <w:tcPr>
            <w:tcW w:w="2270" w:type="dxa"/>
            <w:tcBorders/>
            <w:vAlign w:val="center"/>
          </w:tcPr>
          <w:p>
            <w:pPr>
              <w:pStyle w:val="TableContents"/>
              <w:bidi w:val="0"/>
              <w:spacing w:before="0" w:after="283"/>
              <w:jc w:val="both"/>
              <w:rPr/>
            </w:pPr>
            <w:r>
              <w:rPr/>
              <w:t xml:space="preserve">☒ </w:t>
            </w:r>
            <w:r>
              <w:rPr/>
              <w:t>Non-accelerated filer</w:t>
            </w:r>
          </w:p>
        </w:tc>
        <w:tc>
          <w:tcPr>
            <w:tcW w:w="2900" w:type="dxa"/>
            <w:tcBorders/>
            <w:vAlign w:val="center"/>
          </w:tcPr>
          <w:p>
            <w:pPr>
              <w:pStyle w:val="TableContents"/>
              <w:bidi w:val="0"/>
              <w:spacing w:before="0" w:after="283"/>
              <w:jc w:val="both"/>
              <w:rPr/>
            </w:pPr>
            <w:r>
              <w:rPr/>
              <w:t xml:space="preserve">☒ </w:t>
            </w:r>
            <w:r>
              <w:rPr/>
              <w:t>Emerging growth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7"/>
        <w:gridCol w:w="8062"/>
        <w:gridCol w:w="846"/>
      </w:tblGrid>
      <w:tr>
        <w:trPr/>
        <w:tc>
          <w:tcPr>
            <w:tcW w:w="1297" w:type="dxa"/>
            <w:tcBorders/>
            <w:vAlign w:val="center"/>
          </w:tcPr>
          <w:p>
            <w:pPr>
              <w:pStyle w:val="TableContents"/>
              <w:bidi w:val="0"/>
              <w:spacing w:before="0" w:after="283"/>
              <w:jc w:val="left"/>
              <w:rPr/>
            </w:pPr>
            <w:r>
              <w:rPr/>
              <w:t>☐</w:t>
            </w:r>
            <w:r>
              <w:rPr/>
              <w:t xml:space="preserve">U.S. GAAP </w:t>
            </w:r>
          </w:p>
        </w:tc>
        <w:tc>
          <w:tcPr>
            <w:tcW w:w="8062" w:type="dxa"/>
            <w:tcBorders/>
            <w:vAlign w:val="center"/>
          </w:tcPr>
          <w:p>
            <w:pPr>
              <w:pStyle w:val="TableContents"/>
              <w:bidi w:val="0"/>
              <w:spacing w:before="0" w:after="283"/>
              <w:jc w:val="left"/>
              <w:rPr/>
            </w:pPr>
            <w:r>
              <w:rPr/>
              <w:t xml:space="preserve">☒ </w:t>
            </w:r>
            <w:r>
              <w:rPr/>
              <w:t xml:space="preserve">International Financial Reporting Standards as issued by the International Accounting Standards Board </w:t>
            </w:r>
          </w:p>
        </w:tc>
        <w:tc>
          <w:tcPr>
            <w:tcW w:w="846" w:type="dxa"/>
            <w:tcBorders/>
            <w:vAlign w:val="center"/>
          </w:tcPr>
          <w:p>
            <w:pPr>
              <w:pStyle w:val="TableContents"/>
              <w:bidi w:val="0"/>
              <w:spacing w:before="0" w:after="283"/>
              <w:jc w:val="both"/>
              <w:rPr/>
            </w:pPr>
            <w:r>
              <w:rPr/>
              <w:t xml:space="preserve">☐ </w:t>
            </w:r>
            <w:r>
              <w:rPr/>
              <w:t>Other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righ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8375"/>
        <w:gridCol w:w="530"/>
      </w:tblGrid>
      <w:tr>
        <w:trPr/>
        <w:tc>
          <w:tcPr>
            <w:tcW w:w="837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375" w:type="dxa"/>
            <w:tcBorders/>
            <w:shd w:fill="CCEEFF" w:val="clear"/>
            <w:vAlign w:val="center"/>
          </w:tcPr>
          <w:p>
            <w:pPr>
              <w:pStyle w:val="TableContents"/>
              <w:bidi w:val="0"/>
              <w:spacing w:before="0" w:after="283"/>
              <w:jc w:val="left"/>
              <w:rPr/>
            </w:pPr>
            <w:hyperlink w:anchor="a_001">
              <w:r>
                <w:rPr>
                  <w:rStyle w:val="InternetLink"/>
                  <w:b/>
                </w:rPr>
                <w:t>EXPLANATORY NOTE</w:t>
              </w:r>
            </w:hyperlink>
          </w:p>
        </w:tc>
        <w:tc>
          <w:tcPr>
            <w:tcW w:w="530" w:type="dxa"/>
            <w:tcBorders/>
            <w:shd w:fill="CCEEFF" w:val="clear"/>
            <w:vAlign w:val="center"/>
          </w:tcPr>
          <w:p>
            <w:pPr>
              <w:pStyle w:val="TableContents"/>
              <w:bidi w:val="0"/>
              <w:spacing w:before="0" w:after="283"/>
              <w:jc w:val="center"/>
              <w:rPr>
                <w:b/>
              </w:rPr>
            </w:pPr>
            <w:r>
              <w:rPr>
                <w:b/>
              </w:rPr>
              <w:t>ii</w:t>
            </w:r>
          </w:p>
        </w:tc>
      </w:tr>
      <w:tr>
        <w:trPr/>
        <w:tc>
          <w:tcPr>
            <w:tcW w:w="83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a_002">
              <w:r>
                <w:rPr>
                  <w:rStyle w:val="InternetLink"/>
                  <w:b/>
                </w:rPr>
                <w:t>CAUTIONARY NOTE REGARDING FORWARD-LOOKING STATEMENTS</w:t>
              </w:r>
            </w:hyperlink>
          </w:p>
        </w:tc>
        <w:tc>
          <w:tcPr>
            <w:tcW w:w="530" w:type="dxa"/>
            <w:tcBorders/>
            <w:shd w:fill="CCEEFF" w:val="clear"/>
            <w:vAlign w:val="center"/>
          </w:tcPr>
          <w:p>
            <w:pPr>
              <w:pStyle w:val="TableContents"/>
              <w:bidi w:val="0"/>
              <w:spacing w:before="0" w:after="283"/>
              <w:jc w:val="center"/>
              <w:rPr>
                <w:b/>
              </w:rPr>
            </w:pPr>
            <w:r>
              <w:rPr>
                <w:b/>
              </w:rPr>
              <w:t>vi</w:t>
            </w:r>
          </w:p>
        </w:tc>
      </w:tr>
      <w:tr>
        <w:trPr/>
        <w:tc>
          <w:tcPr>
            <w:tcW w:w="83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a_003">
              <w:r>
                <w:rPr>
                  <w:rStyle w:val="InternetLink"/>
                  <w:b/>
                </w:rPr>
                <w:t>PART I</w:t>
              </w:r>
            </w:hyperlink>
          </w:p>
        </w:tc>
        <w:tc>
          <w:tcPr>
            <w:tcW w:w="530" w:type="dxa"/>
            <w:tcBorders/>
            <w:shd w:fill="CCEEFF" w:val="clear"/>
            <w:vAlign w:val="center"/>
          </w:tcPr>
          <w:p>
            <w:pPr>
              <w:pStyle w:val="TableContents"/>
              <w:bidi w:val="0"/>
              <w:spacing w:before="0" w:after="283"/>
              <w:jc w:val="center"/>
              <w:rPr/>
            </w:pPr>
            <w:r>
              <w:rPr/>
              <w:t>1</w:t>
            </w:r>
          </w:p>
        </w:tc>
      </w:tr>
      <w:tr>
        <w:trPr/>
        <w:tc>
          <w:tcPr>
            <w:tcW w:w="83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a_004">
              <w:r>
                <w:rPr>
                  <w:rStyle w:val="InternetLink"/>
                  <w:b/>
                </w:rPr>
                <w:t>item 1. Identity of directors, senior management and advisers</w:t>
              </w:r>
            </w:hyperlink>
          </w:p>
        </w:tc>
        <w:tc>
          <w:tcPr>
            <w:tcW w:w="530" w:type="dxa"/>
            <w:tcBorders/>
            <w:shd w:fill="CCEEFF" w:val="clear"/>
            <w:vAlign w:val="center"/>
          </w:tcPr>
          <w:p>
            <w:pPr>
              <w:pStyle w:val="TableContents"/>
              <w:bidi w:val="0"/>
              <w:spacing w:before="0" w:after="283"/>
              <w:jc w:val="center"/>
              <w:rPr>
                <w:b/>
              </w:rPr>
            </w:pPr>
            <w:r>
              <w:rPr>
                <w:b/>
              </w:rPr>
              <w:t>1</w:t>
            </w:r>
          </w:p>
        </w:tc>
      </w:tr>
      <w:tr>
        <w:trPr/>
        <w:tc>
          <w:tcPr>
            <w:tcW w:w="8375" w:type="dxa"/>
            <w:tcBorders/>
            <w:shd w:fill="FFFFFF" w:val="clear"/>
            <w:vAlign w:val="center"/>
          </w:tcPr>
          <w:p>
            <w:pPr>
              <w:pStyle w:val="TableContents"/>
              <w:bidi w:val="0"/>
              <w:spacing w:before="0" w:after="283"/>
              <w:jc w:val="left"/>
              <w:rPr/>
            </w:pPr>
            <w:hyperlink w:anchor="a_005">
              <w:r>
                <w:rPr>
                  <w:rStyle w:val="InternetLink"/>
                  <w:b/>
                </w:rPr>
                <w:t>Item 2. Offer Statistics and Expected Timetable</w:t>
              </w:r>
            </w:hyperlink>
          </w:p>
        </w:tc>
        <w:tc>
          <w:tcPr>
            <w:tcW w:w="530" w:type="dxa"/>
            <w:tcBorders/>
            <w:shd w:fill="FFFFFF" w:val="clear"/>
            <w:vAlign w:val="center"/>
          </w:tcPr>
          <w:p>
            <w:pPr>
              <w:pStyle w:val="TableContents"/>
              <w:bidi w:val="0"/>
              <w:spacing w:before="0" w:after="283"/>
              <w:jc w:val="center"/>
              <w:rPr>
                <w:b/>
              </w:rPr>
            </w:pPr>
            <w:r>
              <w:rPr>
                <w:b/>
              </w:rPr>
              <w:t>1</w:t>
            </w:r>
          </w:p>
        </w:tc>
      </w:tr>
      <w:tr>
        <w:trPr/>
        <w:tc>
          <w:tcPr>
            <w:tcW w:w="8375" w:type="dxa"/>
            <w:tcBorders/>
            <w:shd w:fill="CCEEFF" w:val="clear"/>
            <w:vAlign w:val="center"/>
          </w:tcPr>
          <w:p>
            <w:pPr>
              <w:pStyle w:val="TableContents"/>
              <w:bidi w:val="0"/>
              <w:spacing w:before="0" w:after="283"/>
              <w:jc w:val="left"/>
              <w:rPr/>
            </w:pPr>
            <w:hyperlink w:anchor="a_006">
              <w:r>
                <w:rPr>
                  <w:rStyle w:val="InternetLink"/>
                  <w:b/>
                </w:rPr>
                <w:t>Item 3. Key Information</w:t>
              </w:r>
            </w:hyperlink>
          </w:p>
        </w:tc>
        <w:tc>
          <w:tcPr>
            <w:tcW w:w="530" w:type="dxa"/>
            <w:tcBorders/>
            <w:shd w:fill="CCEEFF" w:val="clear"/>
            <w:vAlign w:val="center"/>
          </w:tcPr>
          <w:p>
            <w:pPr>
              <w:pStyle w:val="TableContents"/>
              <w:bidi w:val="0"/>
              <w:spacing w:before="0" w:after="283"/>
              <w:jc w:val="center"/>
              <w:rPr>
                <w:b/>
              </w:rPr>
            </w:pPr>
            <w:r>
              <w:rPr>
                <w:b/>
              </w:rPr>
              <w:t>1</w:t>
            </w:r>
          </w:p>
        </w:tc>
      </w:tr>
      <w:tr>
        <w:trPr/>
        <w:tc>
          <w:tcPr>
            <w:tcW w:w="8375" w:type="dxa"/>
            <w:tcBorders/>
            <w:shd w:fill="FFFFFF" w:val="clear"/>
            <w:vAlign w:val="center"/>
          </w:tcPr>
          <w:p>
            <w:pPr>
              <w:pStyle w:val="TableContents"/>
              <w:bidi w:val="0"/>
              <w:spacing w:before="0" w:after="283"/>
              <w:jc w:val="left"/>
              <w:rPr/>
            </w:pPr>
            <w:hyperlink w:anchor="a_007">
              <w:r>
                <w:rPr>
                  <w:rStyle w:val="InternetLink"/>
                  <w:b/>
                </w:rPr>
                <w:t>Item 4. Information on Air Water Ventures Limited</w:t>
              </w:r>
            </w:hyperlink>
          </w:p>
        </w:tc>
        <w:tc>
          <w:tcPr>
            <w:tcW w:w="530" w:type="dxa"/>
            <w:tcBorders/>
            <w:shd w:fill="FFFFFF" w:val="clear"/>
            <w:vAlign w:val="center"/>
          </w:tcPr>
          <w:p>
            <w:pPr>
              <w:pStyle w:val="TableContents"/>
              <w:bidi w:val="0"/>
              <w:spacing w:before="0" w:after="283"/>
              <w:jc w:val="center"/>
              <w:rPr>
                <w:b/>
              </w:rPr>
            </w:pPr>
            <w:r>
              <w:rPr>
                <w:b/>
              </w:rPr>
              <w:t>2</w:t>
            </w:r>
          </w:p>
        </w:tc>
      </w:tr>
      <w:tr>
        <w:trPr/>
        <w:tc>
          <w:tcPr>
            <w:tcW w:w="8375" w:type="dxa"/>
            <w:tcBorders/>
            <w:shd w:fill="CCEEFF" w:val="clear"/>
            <w:vAlign w:val="center"/>
          </w:tcPr>
          <w:p>
            <w:pPr>
              <w:pStyle w:val="TableContents"/>
              <w:bidi w:val="0"/>
              <w:spacing w:before="0" w:after="283"/>
              <w:jc w:val="left"/>
              <w:rPr/>
            </w:pPr>
            <w:hyperlink w:anchor="a_008">
              <w:r>
                <w:rPr>
                  <w:rStyle w:val="InternetLink"/>
                  <w:b/>
                </w:rPr>
                <w:t>Item 4A. Unresolved Staff Comments</w:t>
              </w:r>
            </w:hyperlink>
          </w:p>
        </w:tc>
        <w:tc>
          <w:tcPr>
            <w:tcW w:w="530" w:type="dxa"/>
            <w:tcBorders/>
            <w:shd w:fill="CCEEFF" w:val="clear"/>
            <w:vAlign w:val="center"/>
          </w:tcPr>
          <w:p>
            <w:pPr>
              <w:pStyle w:val="TableContents"/>
              <w:bidi w:val="0"/>
              <w:spacing w:before="0" w:after="283"/>
              <w:jc w:val="center"/>
              <w:rPr>
                <w:b/>
              </w:rPr>
            </w:pPr>
            <w:r>
              <w:rPr>
                <w:b/>
              </w:rPr>
              <w:t>3</w:t>
            </w:r>
          </w:p>
        </w:tc>
      </w:tr>
      <w:tr>
        <w:trPr/>
        <w:tc>
          <w:tcPr>
            <w:tcW w:w="8375" w:type="dxa"/>
            <w:tcBorders/>
            <w:shd w:fill="FFFFFF" w:val="clear"/>
            <w:vAlign w:val="center"/>
          </w:tcPr>
          <w:p>
            <w:pPr>
              <w:pStyle w:val="TableContents"/>
              <w:bidi w:val="0"/>
              <w:spacing w:before="0" w:after="283"/>
              <w:jc w:val="left"/>
              <w:rPr/>
            </w:pPr>
            <w:hyperlink w:anchor="a_009">
              <w:r>
                <w:rPr>
                  <w:rStyle w:val="InternetLink"/>
                  <w:b/>
                </w:rPr>
                <w:t>Item 5. Operating and Financial Review and Prospects</w:t>
              </w:r>
            </w:hyperlink>
          </w:p>
        </w:tc>
        <w:tc>
          <w:tcPr>
            <w:tcW w:w="530" w:type="dxa"/>
            <w:tcBorders/>
            <w:shd w:fill="FFFFFF" w:val="clear"/>
            <w:vAlign w:val="center"/>
          </w:tcPr>
          <w:p>
            <w:pPr>
              <w:pStyle w:val="TableContents"/>
              <w:bidi w:val="0"/>
              <w:spacing w:before="0" w:after="283"/>
              <w:jc w:val="center"/>
              <w:rPr>
                <w:b/>
              </w:rPr>
            </w:pPr>
            <w:r>
              <w:rPr>
                <w:b/>
              </w:rPr>
              <w:t>3</w:t>
            </w:r>
          </w:p>
        </w:tc>
      </w:tr>
      <w:tr>
        <w:trPr/>
        <w:tc>
          <w:tcPr>
            <w:tcW w:w="8375" w:type="dxa"/>
            <w:tcBorders/>
            <w:shd w:fill="CCEEFF" w:val="clear"/>
            <w:vAlign w:val="center"/>
          </w:tcPr>
          <w:p>
            <w:pPr>
              <w:pStyle w:val="TableContents"/>
              <w:bidi w:val="0"/>
              <w:spacing w:before="0" w:after="283"/>
              <w:jc w:val="left"/>
              <w:rPr/>
            </w:pPr>
            <w:hyperlink w:anchor="a_010">
              <w:r>
                <w:rPr>
                  <w:rStyle w:val="InternetLink"/>
                  <w:b/>
                </w:rPr>
                <w:t>Item 6. Directors, Senior Management and Employees</w:t>
              </w:r>
            </w:hyperlink>
          </w:p>
        </w:tc>
        <w:tc>
          <w:tcPr>
            <w:tcW w:w="530" w:type="dxa"/>
            <w:tcBorders/>
            <w:shd w:fill="CCEEFF" w:val="clear"/>
            <w:vAlign w:val="center"/>
          </w:tcPr>
          <w:p>
            <w:pPr>
              <w:pStyle w:val="TableContents"/>
              <w:bidi w:val="0"/>
              <w:spacing w:before="0" w:after="283"/>
              <w:jc w:val="center"/>
              <w:rPr>
                <w:b/>
              </w:rPr>
            </w:pPr>
            <w:r>
              <w:rPr>
                <w:b/>
              </w:rPr>
              <w:t>3</w:t>
            </w:r>
          </w:p>
        </w:tc>
      </w:tr>
      <w:tr>
        <w:trPr/>
        <w:tc>
          <w:tcPr>
            <w:tcW w:w="8375" w:type="dxa"/>
            <w:tcBorders/>
            <w:shd w:fill="FFFFFF" w:val="clear"/>
            <w:vAlign w:val="center"/>
          </w:tcPr>
          <w:p>
            <w:pPr>
              <w:pStyle w:val="TableContents"/>
              <w:bidi w:val="0"/>
              <w:spacing w:before="0" w:after="283"/>
              <w:jc w:val="left"/>
              <w:rPr/>
            </w:pPr>
            <w:hyperlink w:anchor="a_011">
              <w:r>
                <w:rPr>
                  <w:rStyle w:val="InternetLink"/>
                  <w:b/>
                </w:rPr>
                <w:t>Item 7. Major Shareholders and Related Party Transactions</w:t>
              </w:r>
            </w:hyperlink>
          </w:p>
        </w:tc>
        <w:tc>
          <w:tcPr>
            <w:tcW w:w="530" w:type="dxa"/>
            <w:tcBorders/>
            <w:shd w:fill="FFFFFF" w:val="clear"/>
            <w:vAlign w:val="center"/>
          </w:tcPr>
          <w:p>
            <w:pPr>
              <w:pStyle w:val="TableContents"/>
              <w:bidi w:val="0"/>
              <w:spacing w:before="0" w:after="283"/>
              <w:jc w:val="center"/>
              <w:rPr>
                <w:b/>
              </w:rPr>
            </w:pPr>
            <w:r>
              <w:rPr>
                <w:b/>
              </w:rPr>
              <w:t>4</w:t>
            </w:r>
          </w:p>
        </w:tc>
      </w:tr>
      <w:tr>
        <w:trPr/>
        <w:tc>
          <w:tcPr>
            <w:tcW w:w="8375" w:type="dxa"/>
            <w:tcBorders/>
            <w:shd w:fill="CCEEFF" w:val="clear"/>
            <w:vAlign w:val="center"/>
          </w:tcPr>
          <w:p>
            <w:pPr>
              <w:pStyle w:val="TableContents"/>
              <w:bidi w:val="0"/>
              <w:spacing w:before="0" w:after="283"/>
              <w:jc w:val="left"/>
              <w:rPr/>
            </w:pPr>
            <w:hyperlink w:anchor="a_012">
              <w:r>
                <w:rPr>
                  <w:rStyle w:val="InternetLink"/>
                  <w:b/>
                </w:rPr>
                <w:t>Item 8. Financial Information</w:t>
              </w:r>
            </w:hyperlink>
          </w:p>
        </w:tc>
        <w:tc>
          <w:tcPr>
            <w:tcW w:w="530" w:type="dxa"/>
            <w:tcBorders/>
            <w:shd w:fill="CCEEFF" w:val="clear"/>
            <w:vAlign w:val="center"/>
          </w:tcPr>
          <w:p>
            <w:pPr>
              <w:pStyle w:val="TableContents"/>
              <w:bidi w:val="0"/>
              <w:spacing w:before="0" w:after="283"/>
              <w:jc w:val="center"/>
              <w:rPr/>
            </w:pPr>
            <w:r>
              <w:rPr/>
              <w:t>6</w:t>
            </w:r>
          </w:p>
        </w:tc>
      </w:tr>
      <w:tr>
        <w:trPr/>
        <w:tc>
          <w:tcPr>
            <w:tcW w:w="8375" w:type="dxa"/>
            <w:tcBorders/>
            <w:shd w:fill="FFFFFF" w:val="clear"/>
            <w:vAlign w:val="center"/>
          </w:tcPr>
          <w:p>
            <w:pPr>
              <w:pStyle w:val="TableContents"/>
              <w:bidi w:val="0"/>
              <w:spacing w:before="0" w:after="283"/>
              <w:jc w:val="left"/>
              <w:rPr/>
            </w:pPr>
            <w:hyperlink w:anchor="a_013">
              <w:r>
                <w:rPr>
                  <w:rStyle w:val="InternetLink"/>
                  <w:b/>
                </w:rPr>
                <w:t>Item 9. The Offer and Listing</w:t>
              </w:r>
            </w:hyperlink>
          </w:p>
        </w:tc>
        <w:tc>
          <w:tcPr>
            <w:tcW w:w="530" w:type="dxa"/>
            <w:tcBorders/>
            <w:shd w:fill="FFFFFF" w:val="clear"/>
            <w:vAlign w:val="center"/>
          </w:tcPr>
          <w:p>
            <w:pPr>
              <w:pStyle w:val="TableContents"/>
              <w:bidi w:val="0"/>
              <w:spacing w:before="0" w:after="283"/>
              <w:jc w:val="center"/>
              <w:rPr>
                <w:b/>
              </w:rPr>
            </w:pPr>
            <w:r>
              <w:rPr>
                <w:b/>
              </w:rPr>
              <w:t>6</w:t>
            </w:r>
          </w:p>
        </w:tc>
      </w:tr>
      <w:tr>
        <w:trPr/>
        <w:tc>
          <w:tcPr>
            <w:tcW w:w="8375" w:type="dxa"/>
            <w:tcBorders/>
            <w:shd w:fill="CCEEFF" w:val="clear"/>
            <w:vAlign w:val="center"/>
          </w:tcPr>
          <w:p>
            <w:pPr>
              <w:pStyle w:val="TableContents"/>
              <w:bidi w:val="0"/>
              <w:spacing w:before="0" w:after="283"/>
              <w:jc w:val="left"/>
              <w:rPr/>
            </w:pPr>
            <w:hyperlink w:anchor="a_014">
              <w:r>
                <w:rPr>
                  <w:rStyle w:val="InternetLink"/>
                  <w:b/>
                </w:rPr>
                <w:t>Item 10. Additional Information</w:t>
              </w:r>
            </w:hyperlink>
          </w:p>
        </w:tc>
        <w:tc>
          <w:tcPr>
            <w:tcW w:w="530" w:type="dxa"/>
            <w:tcBorders/>
            <w:shd w:fill="CCEEFF" w:val="clear"/>
            <w:vAlign w:val="center"/>
          </w:tcPr>
          <w:p>
            <w:pPr>
              <w:pStyle w:val="TableContents"/>
              <w:bidi w:val="0"/>
              <w:spacing w:before="0" w:after="283"/>
              <w:jc w:val="center"/>
              <w:rPr>
                <w:b/>
              </w:rPr>
            </w:pPr>
            <w:r>
              <w:rPr>
                <w:b/>
              </w:rPr>
              <w:t>7</w:t>
            </w:r>
          </w:p>
        </w:tc>
      </w:tr>
      <w:tr>
        <w:trPr/>
        <w:tc>
          <w:tcPr>
            <w:tcW w:w="8375" w:type="dxa"/>
            <w:tcBorders/>
            <w:shd w:fill="FFFFFF" w:val="clear"/>
            <w:vAlign w:val="center"/>
          </w:tcPr>
          <w:p>
            <w:pPr>
              <w:pStyle w:val="TableContents"/>
              <w:bidi w:val="0"/>
              <w:spacing w:before="0" w:after="283"/>
              <w:jc w:val="left"/>
              <w:rPr/>
            </w:pPr>
            <w:hyperlink w:anchor="a_015">
              <w:r>
                <w:rPr>
                  <w:rStyle w:val="InternetLink"/>
                  <w:b/>
                </w:rPr>
                <w:t>Item 11. Quantitative and Qualitative Disclosures About Market Risk</w:t>
              </w:r>
            </w:hyperlink>
          </w:p>
        </w:tc>
        <w:tc>
          <w:tcPr>
            <w:tcW w:w="530" w:type="dxa"/>
            <w:tcBorders/>
            <w:shd w:fill="FFFFFF" w:val="clear"/>
            <w:vAlign w:val="center"/>
          </w:tcPr>
          <w:p>
            <w:pPr>
              <w:pStyle w:val="TableContents"/>
              <w:bidi w:val="0"/>
              <w:spacing w:before="0" w:after="283"/>
              <w:jc w:val="center"/>
              <w:rPr>
                <w:b/>
              </w:rPr>
            </w:pPr>
            <w:r>
              <w:rPr>
                <w:b/>
              </w:rPr>
              <w:t>9</w:t>
            </w:r>
          </w:p>
        </w:tc>
      </w:tr>
      <w:tr>
        <w:trPr/>
        <w:tc>
          <w:tcPr>
            <w:tcW w:w="8375" w:type="dxa"/>
            <w:tcBorders/>
            <w:shd w:fill="CCEEFF" w:val="clear"/>
            <w:vAlign w:val="center"/>
          </w:tcPr>
          <w:p>
            <w:pPr>
              <w:pStyle w:val="TableContents"/>
              <w:bidi w:val="0"/>
              <w:spacing w:before="0" w:after="283"/>
              <w:jc w:val="left"/>
              <w:rPr/>
            </w:pPr>
            <w:hyperlink w:anchor="a_016">
              <w:r>
                <w:rPr>
                  <w:rStyle w:val="InternetLink"/>
                  <w:b/>
                </w:rPr>
                <w:t>Item 12. Description of Securities Other Than Equity Securities</w:t>
              </w:r>
            </w:hyperlink>
          </w:p>
        </w:tc>
        <w:tc>
          <w:tcPr>
            <w:tcW w:w="530" w:type="dxa"/>
            <w:tcBorders/>
            <w:shd w:fill="CCEEFF" w:val="clear"/>
            <w:vAlign w:val="center"/>
          </w:tcPr>
          <w:p>
            <w:pPr>
              <w:pStyle w:val="TableContents"/>
              <w:bidi w:val="0"/>
              <w:spacing w:before="0" w:after="283"/>
              <w:jc w:val="center"/>
              <w:rPr>
                <w:b/>
              </w:rPr>
            </w:pPr>
            <w:r>
              <w:rPr>
                <w:b/>
              </w:rPr>
              <w:t>9</w:t>
            </w:r>
          </w:p>
        </w:tc>
      </w:tr>
      <w:tr>
        <w:trPr/>
        <w:tc>
          <w:tcPr>
            <w:tcW w:w="83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a_017">
              <w:r>
                <w:rPr>
                  <w:rStyle w:val="InternetLink"/>
                  <w:b/>
                </w:rPr>
                <w:t>PART II</w:t>
              </w:r>
            </w:hyperlink>
          </w:p>
        </w:tc>
        <w:tc>
          <w:tcPr>
            <w:tcW w:w="530" w:type="dxa"/>
            <w:tcBorders/>
            <w:shd w:fill="CCEEFF" w:val="clear"/>
            <w:vAlign w:val="center"/>
          </w:tcPr>
          <w:p>
            <w:pPr>
              <w:pStyle w:val="TableContents"/>
              <w:bidi w:val="0"/>
              <w:spacing w:before="0" w:after="283"/>
              <w:jc w:val="center"/>
              <w:rPr>
                <w:b/>
              </w:rPr>
            </w:pPr>
            <w:r>
              <w:rPr>
                <w:b/>
              </w:rPr>
              <w:t>II-1</w:t>
            </w:r>
          </w:p>
        </w:tc>
      </w:tr>
      <w:tr>
        <w:trPr/>
        <w:tc>
          <w:tcPr>
            <w:tcW w:w="83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a_018">
              <w:r>
                <w:rPr>
                  <w:rStyle w:val="InternetLink"/>
                  <w:b/>
                </w:rPr>
                <w:t>PART III</w:t>
              </w:r>
            </w:hyperlink>
          </w:p>
        </w:tc>
        <w:tc>
          <w:tcPr>
            <w:tcW w:w="530" w:type="dxa"/>
            <w:tcBorders/>
            <w:shd w:fill="CCEEFF" w:val="clear"/>
            <w:vAlign w:val="center"/>
          </w:tcPr>
          <w:p>
            <w:pPr>
              <w:pStyle w:val="TableContents"/>
              <w:bidi w:val="0"/>
              <w:spacing w:before="0" w:after="283"/>
              <w:jc w:val="center"/>
              <w:rPr>
                <w:b/>
              </w:rPr>
            </w:pPr>
            <w:r>
              <w:rPr>
                <w:b/>
              </w:rPr>
              <w:t>III-1</w:t>
            </w:r>
          </w:p>
        </w:tc>
      </w:tr>
      <w:tr>
        <w:trPr/>
        <w:tc>
          <w:tcPr>
            <w:tcW w:w="83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a_019">
              <w:r>
                <w:rPr>
                  <w:rStyle w:val="InternetLink"/>
                  <w:b/>
                </w:rPr>
                <w:t>Item 17. Financial Statements</w:t>
              </w:r>
            </w:hyperlink>
          </w:p>
        </w:tc>
        <w:tc>
          <w:tcPr>
            <w:tcW w:w="530" w:type="dxa"/>
            <w:tcBorders/>
            <w:shd w:fill="CCEEFF" w:val="clear"/>
            <w:vAlign w:val="center"/>
          </w:tcPr>
          <w:p>
            <w:pPr>
              <w:pStyle w:val="TableContents"/>
              <w:bidi w:val="0"/>
              <w:spacing w:before="0" w:after="283"/>
              <w:jc w:val="center"/>
              <w:rPr>
                <w:b/>
              </w:rPr>
            </w:pPr>
            <w:r>
              <w:rPr>
                <w:b/>
              </w:rPr>
              <w:t>III-1</w:t>
            </w:r>
          </w:p>
        </w:tc>
      </w:tr>
      <w:tr>
        <w:trPr/>
        <w:tc>
          <w:tcPr>
            <w:tcW w:w="8375" w:type="dxa"/>
            <w:tcBorders/>
            <w:shd w:fill="FFFFFF" w:val="clear"/>
            <w:vAlign w:val="center"/>
          </w:tcPr>
          <w:p>
            <w:pPr>
              <w:pStyle w:val="TableContents"/>
              <w:bidi w:val="0"/>
              <w:spacing w:before="0" w:after="283"/>
              <w:jc w:val="left"/>
              <w:rPr/>
            </w:pPr>
            <w:hyperlink w:anchor="a_020">
              <w:r>
                <w:rPr>
                  <w:rStyle w:val="InternetLink"/>
                  <w:b/>
                </w:rPr>
                <w:t>Item 18. Financial Statements</w:t>
              </w:r>
            </w:hyperlink>
          </w:p>
        </w:tc>
        <w:tc>
          <w:tcPr>
            <w:tcW w:w="530" w:type="dxa"/>
            <w:tcBorders/>
            <w:shd w:fill="FFFFFF" w:val="clear"/>
            <w:vAlign w:val="center"/>
          </w:tcPr>
          <w:p>
            <w:pPr>
              <w:pStyle w:val="TableContents"/>
              <w:bidi w:val="0"/>
              <w:spacing w:before="0" w:after="283"/>
              <w:jc w:val="center"/>
              <w:rPr>
                <w:b/>
              </w:rPr>
            </w:pPr>
            <w:r>
              <w:rPr>
                <w:b/>
              </w:rPr>
              <w:t>III-1</w:t>
            </w:r>
          </w:p>
        </w:tc>
      </w:tr>
      <w:tr>
        <w:trPr/>
        <w:tc>
          <w:tcPr>
            <w:tcW w:w="8375" w:type="dxa"/>
            <w:tcBorders/>
            <w:shd w:fill="CCEEFF" w:val="clear"/>
            <w:vAlign w:val="center"/>
          </w:tcPr>
          <w:p>
            <w:pPr>
              <w:pStyle w:val="TableContents"/>
              <w:bidi w:val="0"/>
              <w:spacing w:before="0" w:after="283"/>
              <w:jc w:val="left"/>
              <w:rPr/>
            </w:pPr>
            <w:hyperlink w:anchor="a_021">
              <w:r>
                <w:rPr>
                  <w:rStyle w:val="InternetLink"/>
                  <w:b/>
                </w:rPr>
                <w:t>Item 19. Exhibits</w:t>
              </w:r>
            </w:hyperlink>
          </w:p>
        </w:tc>
        <w:tc>
          <w:tcPr>
            <w:tcW w:w="530" w:type="dxa"/>
            <w:tcBorders/>
            <w:shd w:fill="CCEEFF" w:val="clear"/>
            <w:vAlign w:val="center"/>
          </w:tcPr>
          <w:p>
            <w:pPr>
              <w:pStyle w:val="TableContents"/>
              <w:bidi w:val="0"/>
              <w:spacing w:before="0" w:after="283"/>
              <w:jc w:val="center"/>
              <w:rPr>
                <w:b/>
              </w:rPr>
            </w:pPr>
            <w:r>
              <w:rPr>
                <w:b/>
              </w:rPr>
              <w:t>III-2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“Closing Date”), Air Water Ventures Limited, a Cayman Islands exempted company (“PubCo”), consummated the previously announced business combination pursuant to the Business Combination Agreement, dated as of August 25, 2025 (as amended by that certain Amendment to Business Combination Agreement, dated as of December 31, 2025 and that Second Amendment to Business Combination Agreement, dated as of June 5, 2026, the “Business Combination Agreement”), by and among PubCo, Inflection Point Acquisition Corp. III, a Cayman Islands exempted company (“Inflection Point” or “SPAC”), Air Water Ventures Holdings Limited, a Cayman Islands exempted company (“Air Water Holdings”), and IPCX Merger Sub Limited, a Cayman Islands exempted company (“Merger Sub”). Unless otherwise stated or the context otherwise requires, capitalized terms used but not defined herein have the meanings assigned to them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following transactions listed below occurred pursuant to the terms of the Business Combination Agreement (collectively,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day prior to the date of the First Merger Effective Time (as defined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Inflection Point Unit issued and outstanding automatically detached into one (1) Inflection Point Class A Ordinary Share and one Inflection Point Right;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Inflection Point Class B Ordinary Share issued and outstanding automatically converted into one (1) Inflection Point Class A Ordinary Share;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Inflection Point Right issued and outstanding automatically converted into one-tenth (1/10) of one Inflection Point Class A Ordinary Share (the “Rights Conversion”) (provided, that if a holder of Inflection Point Rights was entitled to receive a fraction of a Inflection Point Class A Ordinary Share upon the Rights Conversion, the number of Inflection Point Class A Ordinary Shares issued to such holder upon the Rights Conversion was rounded down to the nearest whole number of Inflection Point Class A Ordinary Shares without cash settlement for such rounded fraction).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First Merger (the “First Merger Effective Time”), by virtue of the First Merger and without any action on the part of any party or the holders of securities of Inflection Point or PubCo: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Inflection Point Class A Ordinary Share (other than any Excluded Shares, SPAC Dissenting Shares and Redeeming SPAC Shares) issued and outstanding immediately prior to the First Merger Effective Time converted into the right to receive one (1) PubCo Ordinary Share;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PubCo Ordinary Share issued and outstanding immediately prior to the First Merger Effective Time, standing in the name of the PubCo Sole Shareholder in the register of members of PubCo, was irrevocably surrendered by the PubCo Sole Shareholder to PubCo for cancellation and for consideration equal to the subscription price (if any) that the PubCo Sole Shareholder paid for such PubCo Ordinary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Second Merger (“Second Merger Effective Time”), by virtue of the Second Merger and without any action on the part of any party or the holders of securities of Air Water Holdings or PubCo: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Ordinary Share issued and outstanding immediately prior to the Second Merger Effective Time converted into the right to receive a number of PubCo Ordinary Shares equal to (i) that number of PubCo Ordinary Shares determined by dividing (x) $300,000,000 by (y) the Redemption Price; divided by (ii) the total number of Air Water Holdings Ordinary Shares (including Air Water Holdings Ordinary Shares underlying Air Water Holdings RSUs) issued and outstanding immediately prior to the Second Merger Effective Time (the “Exchange Ratio”);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Series A-1 Preferred Share issued and outstanding immediately prior to the Second Merger Effective Time converted into the right to receive a number of PubCo Series A Preferred Shares equal to (i) the aggregate Accrued Value attributable to such Air Water Holdings Series A-1 Preferred Share divided by (ii) the PubCo Preferred Share Issue Price;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Series A-2 Preferred Share issued and outstanding immediately prior to the Second Merger Effective Time converted into the right to receive a number of PubCo Series A Preferred Shares equal to (i) the aggregate Accrued Value attributable to such Air Water Holdings Series A-2 Preferred Share divided by (ii) the PubCo Preferred Share Issue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Warrant issued and outstanding immediately prior to the Second Merger Effective Time issued pursuant to a Subscription Agreement, converted into the right to receive a PubCo Series A Investor Warrant exercisable for a number of PubCo Ordinary Shares equal to (i) the number of Air Water Holdings Ordinary Shares issuable upon conversion of the applicable Pre-Funded PIPE Investor’s or PIPE Investor’s Air Water Holdings Series A Preferred Shares upon a hypothetical conversion of such Air Water Holdings Series A Preferred Shares immediately prior to the Second Merger multiplied by (ii) the Exchange Ratio;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Warrant issued and outstanding immediately prior to the Second Merger Effective Time which was not issued pursuant to a Subscription Agreement, converted into the right to receive a PubCo Series A Investor Warrant exercisable for a number of PubCo Ordinary Shares equal to the number of Air Water Holdings Ordinary Shares issuable upon a hypothetical conversion of such Air Water Holdings Warrant as of immediately prior to the Second Merger;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RSU issued and outstanding immediately prior to the Second Merger Effective Time converted into the right to receive restricted stock units subject to PubCo Ordinary Shares on the same terms and conditions (including applicable vesting, settlement and termination provisions) as were in effect with respect to each such award of Air Water Holdings RSUs; provided, that each award of Air Water Holdings RSUs immediately prior to the Second Merger Effective Time was subject to the number of PubCo Ordinary Shares equal to the product of (i) the number of whole Air Water Holdings Ordinary Shares that were subject to such award of Air Water Holdings RSUs (with any fractional share otherwise resulting rounded down to the nearest whole share) immediately prior to the Second Merger Effective Time, multiplied by (ii) the Exchange Ratio;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Air Water Holdings PSU issued and outstanding and unvested immediately prior to the Second Merger Effective Time was assumed and converted into the right to receive performance-based restricted stock units subject to PubCo Ordinary Shares on the same terms and conditions (including applicable performance vesting criteria and other applicable settlement and termination provisions) as were in effect with respect to each such award of Air Water Holdings PSUs immediately prior to the Second Merger Effective Time; provided, that each award of Air Water Holdings PSUs immediately prior to the Second Merger Effective Time was subject to a number of PubCo Ordinary Shares, determined based on the pro-rata portion of Earnout Shares attributable to such PSU Holder’s Air Water Holdings RSUs, subject to achievement of the applicable Triggering Event (with any fractional share otherwise resulting rounded down to the nearest whole share);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ordinary share of $1.00 par value per share of Merger Sub issued and outstanding immediately prior to the Second Merger Effective Time converted into one validly issued, fully paid and non-assessable ordinary share of the Second Surviving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Earnout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PubCo will issue to Eligible Air Water Holdings Equityholders and the PSU Holders up to 20,000,000 additional PubCo Ordinary Shares in the aggregate (the “Earnout Shares”) in four tranches of 5,000,000, respectively,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or prior to the quarter ending December 31, 2027, the Revenue Run Rate equals or exceeds $80,000,000;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or prior to the quarter ending December 31, 2027, the EBITDA Run Rate equals or exceeds $30,000,000;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or prior to the quarter ending June 30, 2028, (a) the Revenue Run Rate equals or exceeds $160,000,000 and (b) the EBITDA Run Rate equals or exceeds $70,000,000;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pPr>
            <w:r>
              <w:rPr/>
              <w:t>within the Earnout Period, the Ordinary Share Price is greater than or equal to $20.00.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a total of 24,548,661 Inflection Point Class A Ordinary Shares included in the Inflection Point Units issued in Inflection Point’s initial public offering (the “Inflection Point Public Shares”) were redeemed for a value of approximately $256,909,016.41, resulting in a total of 751,339 Inflection Point Class A Ordinary Shares remaining issued and outstanding as of the Closing Date. As of Closing, the amount standing to the balance of the Trust Account was approximately $7,862,985. As of August 14, 2026, subsequent to Closing, there were 31,639,454 PubCo Ordinary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Transactions, PubCo did not conduct any material activities other than those incident to its formation and the matters contemplated by the Business Combination Agreement, such as the making of certain required securities law filings. Upon the closing of the Transactions, PubCo became the direct parent of the surviving company of the Second Merger (after such merger the surviving company was renamed Air Water Ventures Holdings Limited and such surviving company is referred to herein as “Air Water OpCo”), resulting in a combined company whereby PubCo will own Air Water OpCo and substantially all of the assets and the business of the combined company will be held and operated by Air Water OpCo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Business Combination Agreement, Inflection Point entered into Company Support Agreements (each, a “Company Support Agreement”) with Air Water Holdings, PubCo and certain shareholders of Air Water Holdings (collectively, the “Supporting Shareholders”), pursuant to which each Supporting Shareholder agreed to, among other things, (i) vote Air Water Holdings Ordinary Shares held by such Supporting Shareholder (together with any other equity securities thereafter acquired by such Supporting Shareholder, the “Air Water Holdings Subject Securities”) in favor of the Business Combination Agreement and the transactions contemplated thereby, (ii) be bound by certain other covenants and agreements related to the Business Combination, (iii) be bound by certain transfer restrictions with respect to Air Water Holdings Subject Securities and (iv) waive its dissenter rights under Section 238 of the Companies Act and any other similar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the Sponsor entered into a Sponsor Support Agreement (the “Sponsor Support Agreement”) with Inflection Point, PubCo and Air Water Holdings, pursuant to which the Sponsor agreed to, among other things, (i) vote Inflection Point Class B Ordinary Shares and Inflection Point Class A Ordinary Shares held by Sponsor (together with any other equity securities thereafter acquired by Sponsor, the “Sponsor Subject Securities”) in favor of the adoption and/or approval, as applicable, by Inflection Point’s shareholders in accordance with the Inflection Point Organizational Documents at any meeting of Inflection Point Shareholders to be called for approval of the Business Combination, (ii) waive its anti-dilution rights in the Inflection Point Organizational Documents, (iii) waive its dissenter rights under Section 238 of the Companies Act and any other similar statute, (iv) be bound by certain other covenants and agreements related to the Business Combination, (v) be bound by certain transfer restrictions with respect to the Sponsor Subject Securities, in each case, on the terms and subject to the conditions set forth in the Sponsor Support Agreement and (vi) irrevocably waive its redemption rights in connection with the consummation of the Business Combination with respect to any Sponsor Subject Securities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Air Water Holdings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Business Combination Agreement requires, among other things, that those certain holders of Air Water Holdings Ordinary Shares as of immediately prior to the Second Merger Effective Time enter into an agreement (the “Air Water Holdings Shareholder Lock-Up Agreement”) providing that such holder of Air Water Holdings Ordinary Shares will not, subject to certain customary exceptions, transfer its Restricted Securities (as defined in the Air Water Holdings Shareholder Lock-Up Agreement) during the period commencing from the Closing Date until the earlier of (i) six months after the Closing or (ii) the date following the Closing on which PubCo completes a liquidation, merger, share exchange, reorganization or other similar transaction in which all of its shareholders have the right to exchange their ordinary shares for cash, securities or other property. Pursuant to Section 10.3 of the Business Combination Agreement, the conditions precedent to the obligations of Inflection Point to consummate the Business Combination included, among other things, that (a) each of Air Water Holdings and PubCo have performed, in all material respects, all of their respective obligations and complied in all material respects with all of their respective agreements and covenants under the Business Combination Agreement to be performed or complied with by them on or prior to the closing date and (b) a counterpart to the ancillary documents (including the Air Water Holdings Shareholder Lock-Up Agreement) required to be executed by Air Water Holdings and PubCo at or prior to the closing shall have been executed and delivered to Inflection Point (the conditions set forth in clauses (a) and (b) together, the “Lock-Up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in accordance with Section 13.9 of the Business Combination Agreement, Inflection Point, Air Water Holdings and PubCo executed a written waiver whereby Inflection Point agreed to waive compliance with the requirement that certain holders of Air Water Holdings Ordinary Shares execute an Air Water Holdings Shareholder Lock-Up Agreement with respect to as many holders of Air Water Holdings Ordinary Shares as necessary to permit PubCo to satisfy the public float requirements for initial listing on Nasdaq, and agreed that such holders of Air Water Holdings Ordinary Shares would be excluded from the requirement to execute an Air Water Holdings Shareholder Lock-Up Agreement on a sequential basis, beginning with the holder of Air Water Holdings Ordinary Shares that owns the fewest number of Air Water Holdings Ordinary Shares and excluding each successive holder thereafter that owns the next fewest number of Air Water Holdings Ordinary Shares until PubCo's public float requirement is satisfied. These shareholders hold an aggregate of approximately 4.9% of PubCo Ordinary Shares following the closing of the Business Combination. Accordingly, holders of Air Water Holdings Ordinary Shares representing approximately 55.5% of the PubCo Ordinary Shares outstanding immediately following the closing of the Business Combination executed Air Water Holdings Shareholder Lock-Up Agreements as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Sponsor and certain other Inflection Point Shareholders who were members of Inflection Point’s board of directors and/or management team (such individuals, the “Inflection Point Insiders”) entered into an agreement (the “Sponsor Lock-Up Agreement”) providing that Sponsor and Inflection Point Insiders will not, subject to certain customary exceptions, transfer (i) the General Restricted Securities (as defined below) during the period commencing from the Closing Date until the date that is the earlier of (x) six months after the Closing and (y) the date following the Closing on which PubCo completes a liquidation, merger, share exchange, reorganization or other similar transaction that results in all of its shareholders having the right to exchange their ordinary shares for cash, securities or other property or (ii) the Private Placement Restricted Securities (as defined below) during the period commencing from the Closing Date until the date that is the earliest of (x) 30 days after the Closing and (y) the date following the Closing on which PubCo completes a liquidation, merger, share exchange, reorganization or other similar transaction that results in all of its shareholders having the right to exchange their ordinary shares for cash, securities or other property. For purposes of the Sponsor Lock-Up Agreement, (a) “Private Placement Restricted Securities” means the PubCo Ordinary Shares issued to the Sponsor pursuant to the Business Combination Agreement in exchange for the 500,000 units consisting of one Inflection Point Class A Ordinary Share and one right to receive one-tenth of one Inflection Point Class A Ordinary Share upon Closing following the unit separation (together with any dividends or distributions with respect to such securities or into which such securities are changed or exchanged or which are received in any recapitalization, share exchange, share conversion or similar transactions), and (b) “General Restricted Securities” means the PubCo Ordinary Shares issued to the Sponsor or Inflection Point Insiders in exchange for Inflection Point Class A Ordinary Shares received by Sponsor or Inflection Point Insiders upon conversion of Inflection Point Class B Ordinary Shares, pursuant to the terms of the Business Combination Agreement (together with any dividends or distributions with respect to such securities or into which such securities are changed or exchanged or which are received in any recapitalization, share exchange, share conversion or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PubCo, certain Air Water Holdings equityholders, the Sponsor, Inflection Point Fund I, LP (“IPF”) and the other parties signatory thereto, entered into the New Registration Rights Agreement, pursuant to which PubCo agreed to (i) register for resale certain Registrable Securities (as defined in the New Registration Rights Agreement) held by the parties thereto from time to time, (ii) file a shelf registration statement registering the sale or resale of all of the Registrable Securities no later than 30 days after the Closing Date and (iii) provide customary “piggyback” registration rights, subject to certain requirements and customary conditions. The New Registration Rights Agreement also provides that PubCo will pay certain expenses relating to such registrations and indemnify the shareholders against certain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Ordinary Shares are trading on the Nasdaq Global Market tier of Nasdaq under the symbol “WATR.”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or required by context, references in this Shell Company Report on Form 20-F (including information incorporated by reference herein, the “Report”) to “we”, “us”, “our”, or “PubCo” refer to Air Water Ventures Limited, a Cayman Islands exempted company,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incorporated by reference into this Report include or may include “forward-looking statements” within the meaning of the federal securities laws, including Section 27A of the Securities Act of 1933, as amended, and Section 21E of the Securities Exchange Act of 1934, as amended. These statements are based on the beliefs and assumptions of the management of PubCo. Although PubCo believes that its respective plans, intentions and expectations reflected in or suggested by these forward-looking statements are reasonable, PubCo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“predicts,” “projects,” “forecasts,” “may,” “might,” “will,” “could,” “should,” “would,” “seeks,” “plans,” “scheduled,” “possible,” “continue,” “potential,” “anticipates” or “intends” or similar expressions; provided that the absence of these does not mean that a statement is not forward-looking. In light of these risks, uncertainties and assumptions, the forward-looking events discussed in this Report and the information incorporated by reference herein and therein might not occur, and actual results could differ materially from those anticipated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these important factors and matters discussed elsewhere herein, and in the information and documents incorporated by reference herein, important factors that could cause actual results to differ materially from those discussed in the forward-looking statements include: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of PubCo to realize the anticipated benefits of the transactions contemplated by the Business Combination Agreement;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of PubCo to execute its growth strategy and expansion efforts, manage growth profitably and retain its key employees;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risk that the Business Combination disrupts PubCo's plans and operations as a result of the consummation of the Business Combination;</w:t>
            </w:r>
          </w:p>
        </w:tc>
      </w:tr>
    </w:tbl>
    <w:p>
      <w:pPr>
        <w:pStyle w:val="TextBody"/>
        <w:bidi w:val="0"/>
        <w:spacing w:before="0" w:after="0"/>
        <w:ind w:left="1080" w:right="0" w:hanging="36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the risks related to the rollout of PubCo’s business and the timing of expected business milestones;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the ability of PubCo’s executive officers and directors to effectively manage the growth of PubCo;</w:t>
            </w:r>
          </w:p>
        </w:tc>
      </w:tr>
    </w:tbl>
    <w:p>
      <w:pPr>
        <w:pStyle w:val="TextBody"/>
        <w:bidi w:val="0"/>
        <w:spacing w:before="0" w:after="0"/>
        <w:ind w:left="1080" w:right="0" w:hanging="36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pPr>
            <w:r>
              <w:rPr/>
              <w:t>the effects of competition on PubCo's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evolving consumer preferences and the potential impact on consumer demand for PubCo’s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costs related to the Business Combination and as a result of becoming a public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1080" w:right="0" w:hanging="36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the ability of PubCo to obtain and maintain the listing of the PubCo Ordinary Shares on Nasdaq;</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associated with the market price of PubCo Ordinary Shares, which may be volatile or may decline regardless of PubCo's operating performance;</w:t>
            </w:r>
          </w:p>
        </w:tc>
      </w:tr>
    </w:tbl>
    <w:p>
      <w:pPr>
        <w:pStyle w:val="TextBody"/>
        <w:bidi w:val="0"/>
        <w:spacing w:before="0" w:after="0"/>
        <w:ind w:left="108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the ability of PubCo to raise additional financing or capital in the future on terms acceptable to it, or at all;</w:t>
            </w:r>
          </w:p>
        </w:tc>
      </w:tr>
    </w:tbl>
    <w:p>
      <w:pPr>
        <w:pStyle w:val="TextBody"/>
        <w:bidi w:val="0"/>
        <w:spacing w:before="0" w:after="0"/>
        <w:ind w:left="1080" w:right="0" w:hanging="36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pPr>
            <w:r>
              <w:rPr/>
              <w:t>changes in applicable laws or regulations affecting PubCo's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general economic, political and business conditions;</w:t>
            </w:r>
          </w:p>
        </w:tc>
      </w:tr>
    </w:tbl>
    <w:p>
      <w:pPr>
        <w:pStyle w:val="TextBody"/>
        <w:bidi w:val="0"/>
        <w:spacing w:before="0" w:after="0"/>
        <w:ind w:left="1080" w:right="0" w:hanging="36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pPr>
            <w:r>
              <w:rPr/>
              <w:t>the outcome of any legal proceedings that may be instituted against PubCo;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factors discussed under the section titled “</w:t>
            </w:r>
            <w:r>
              <w:rPr>
                <w:i/>
              </w:rPr>
              <w:t>Risk Factors</w:t>
            </w:r>
            <w:r>
              <w:rPr/>
              <w:t>” in the Proxy Statement and Prospectus (the “Proxy Statement/Prospectus”), part of PubCo’s Registration Statement on Form F-4, as amended (File No. 333-294998) (the “Form F-4”), as well as in Item 3.D "Risk Factors" of this Report, which sections are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or incorporated by reference in this Report are based on PubCo’s current expectations and beliefs concerning future developments and their potential effects on its direct and indirect subsidiaries. There can be no assurance that future developments affecting PubCo will be those that PubCo has anticipated. These forward-looking statements involve a number of risks, uncertainties (some of which are beyond PubCo’s control) or other assumptions that may cause actual results or performance to be materially different from those expressed or implied by these forward-looking statements. These risks and uncertainties include, but are not limited to, those factors described in the Proxy Statement/Prospectus under the heading “Risk Factors.” Should one or more of these risks or uncertainties materialize, or should any of the assumptions prove incorrect, actual results may vary in material respects from those projected in these forward-looking statements. As a result, any inclusion of the estimates or other forecast information in the Proxy Statement/Prospectus should not be relied on as “guidance” or otherwise predictive of actual future events, and actual results may differ materially from the forecasts. PubCo will not undertake any obligation to update or revise any forward-looking statements, whether as a result of new information, future events or otherwise, except as may be required under applicable securities laws. Readers of this Report are cautioned not to place undue reliance on the unaudited prospective financial information set forth in the Proxy Statement/Prospectus. PubCo nor any of its respective affiliates, directors, officers, advisors or other representatives has made or makes any representation to any shareholder or any other person regarding ultimate performance compared to the information contained in the estimates or that financial and operating results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Accrued Value”</w:t>
      </w:r>
      <w:r>
        <w:rPr>
          <w:rFonts w:ascii="Times New Roman;Times;Serif" w:hAnsi="Times New Roman;Times;Serif"/>
          <w:b w:val="false"/>
          <w:i w:val="false"/>
          <w:caps w:val="false"/>
          <w:smallCaps w:val="false"/>
          <w:sz w:val="20"/>
        </w:rPr>
        <w:t> means, with respect to any (i) PubCo Series A Preferred Share, the aggregate amount of $1,000 (the “Stated Value”) together with any unpaid Arrears (as defined in the PubCo A&amp;R Articles) in respect of that PubCo Series A Preferred Share (subject to Equitable Adjustment) and (ii) Air Water Holdings Series A Preferred Share, the Stated Value together with any unpaid Arrears (as defined in Air Water Holdings Charter) in respect of that Air Water Holdings Series A Preferred Share (as adjusted in accordance with Air Water Holdings Charter); provided that in connection with the consummation of the Second Merger, the Accrued Value of each Air Water Holdings Series A-1 Preferred Share shall be divided by 0.85.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Charter”</w:t>
      </w:r>
      <w:r>
        <w:rPr>
          <w:rFonts w:ascii="Times New Roman;Times;Serif" w:hAnsi="Times New Roman;Times;Serif"/>
          <w:b w:val="false"/>
          <w:i w:val="false"/>
          <w:caps w:val="false"/>
          <w:smallCaps w:val="false"/>
          <w:sz w:val="20"/>
        </w:rPr>
        <w:t> means the third amended and restated memorandum and articles of association of Air Water Holdings adopted by special resolution passed on June 2, 2026, as the same may be amended or modified from time to time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Ordinary Shares”</w:t>
      </w:r>
      <w:r>
        <w:rPr>
          <w:rFonts w:ascii="Times New Roman;Times;Serif" w:hAnsi="Times New Roman;Times;Serif"/>
          <w:b w:val="false"/>
          <w:i w:val="false"/>
          <w:caps w:val="false"/>
          <w:smallCaps w:val="false"/>
          <w:sz w:val="20"/>
        </w:rPr>
        <w:t> means the ordinary shares of a nominal or par value of $0.01344 per share of Air Water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PSU”</w:t>
      </w:r>
      <w:r>
        <w:rPr>
          <w:rFonts w:ascii="Times New Roman;Times;Serif" w:hAnsi="Times New Roman;Times;Serif"/>
          <w:b w:val="false"/>
          <w:i w:val="false"/>
          <w:caps w:val="false"/>
          <w:smallCaps w:val="false"/>
          <w:sz w:val="20"/>
        </w:rPr>
        <w:t> means each performance-based restricted share unit granted to a PSU Holder that entitles such PSU Holder to a number of Earnout Shares, determined based on the pro-rata portion of Earnout Shares attributable to such PSU Holder’s Air Water Holdings RSUs, subject to achievement of the applicable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RSU”</w:t>
      </w:r>
      <w:r>
        <w:rPr>
          <w:rFonts w:ascii="Times New Roman;Times;Serif" w:hAnsi="Times New Roman;Times;Serif"/>
          <w:b w:val="false"/>
          <w:i w:val="false"/>
          <w:caps w:val="false"/>
          <w:smallCaps w:val="false"/>
          <w:sz w:val="20"/>
        </w:rPr>
        <w:t> means each restricted share unit with respect to Air Water Holdings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Series A Preferred Shares”</w:t>
      </w:r>
      <w:r>
        <w:rPr>
          <w:rFonts w:ascii="Times New Roman;Times;Serif" w:hAnsi="Times New Roman;Times;Serif"/>
          <w:b w:val="false"/>
          <w:i w:val="false"/>
          <w:caps w:val="false"/>
          <w:smallCaps w:val="false"/>
          <w:sz w:val="20"/>
        </w:rPr>
        <w:t> means Air Water Holdings Series A-1 Preferred Shares and Air Water Holdings Series A-2 Preferred Shares,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Series A-1 Preferred Shares”</w:t>
      </w:r>
      <w:r>
        <w:rPr>
          <w:rFonts w:ascii="Times New Roman;Times;Serif" w:hAnsi="Times New Roman;Times;Serif"/>
          <w:b w:val="false"/>
          <w:i w:val="false"/>
          <w:caps w:val="false"/>
          <w:smallCaps w:val="false"/>
          <w:sz w:val="20"/>
        </w:rPr>
        <w:t> means the Series A-1 redeemable preference shares of a nominal or par value of $0.0001 per share of Air Water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Series A-2 Preferred Shares”</w:t>
      </w:r>
      <w:r>
        <w:rPr>
          <w:rFonts w:ascii="Times New Roman;Times;Serif" w:hAnsi="Times New Roman;Times;Serif"/>
          <w:b w:val="false"/>
          <w:i w:val="false"/>
          <w:caps w:val="false"/>
          <w:smallCaps w:val="false"/>
          <w:sz w:val="20"/>
        </w:rPr>
        <w:t> means the Series A-2 redeemable preference shares of a nominal or par value of $0.0001 per share of Air Water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Shareholder”</w:t>
      </w:r>
      <w:r>
        <w:rPr>
          <w:rFonts w:ascii="Times New Roman;Times;Serif" w:hAnsi="Times New Roman;Times;Serif"/>
          <w:b w:val="false"/>
          <w:i w:val="false"/>
          <w:caps w:val="false"/>
          <w:smallCaps w:val="false"/>
          <w:sz w:val="20"/>
        </w:rPr>
        <w:t> means a holder of Air Water Holdings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Shares”</w:t>
      </w:r>
      <w:r>
        <w:rPr>
          <w:rFonts w:ascii="Times New Roman;Times;Serif" w:hAnsi="Times New Roman;Times;Serif"/>
          <w:b w:val="false"/>
          <w:i w:val="false"/>
          <w:caps w:val="false"/>
          <w:smallCaps w:val="false"/>
          <w:sz w:val="20"/>
        </w:rPr>
        <w:t> means Air Water Holdings Ordinary Shares and Air Water Holdings Series A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Air Water Holdings Warrants” </w:t>
      </w:r>
      <w:r>
        <w:rPr>
          <w:rFonts w:ascii="Times New Roman;Times;Serif" w:hAnsi="Times New Roman;Times;Serif"/>
          <w:b w:val="false"/>
          <w:i w:val="false"/>
          <w:caps w:val="false"/>
          <w:smallCaps w:val="false"/>
          <w:sz w:val="20"/>
        </w:rPr>
        <w:t>means the warrants to purchase Air Water Holdings Ordinary Shares at a purchase price per share of $7,624.33.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 Agreement” </w:t>
      </w:r>
      <w:r>
        <w:rPr>
          <w:rFonts w:ascii="Times New Roman;Times;Serif" w:hAnsi="Times New Roman;Times;Serif"/>
          <w:b w:val="false"/>
          <w:i w:val="false"/>
          <w:caps w:val="false"/>
          <w:smallCaps w:val="false"/>
          <w:sz w:val="20"/>
        </w:rPr>
        <w:t>or “</w:t>
      </w:r>
      <w:r>
        <w:rPr>
          <w:rFonts w:ascii="Times New Roman;Times;Serif" w:hAnsi="Times New Roman;Times;Serif"/>
          <w:b/>
          <w:i/>
          <w:caps w:val="false"/>
          <w:smallCaps w:val="false"/>
          <w:sz w:val="20"/>
        </w:rPr>
        <w:t>BCA</w:t>
      </w:r>
      <w:r>
        <w:rPr>
          <w:rFonts w:ascii="Times New Roman;Times;Serif" w:hAnsi="Times New Roman;Times;Serif"/>
          <w:b w:val="false"/>
          <w:i w:val="false"/>
          <w:caps w:val="false"/>
          <w:smallCaps w:val="false"/>
          <w:sz w:val="20"/>
        </w:rPr>
        <w:t>” means the Business Combination Agreement, dated as of August 25, 2025, by and among Air Water Holdings, PubCo, Inflection Point, and Merger Sub, as amended by the First BCA Amendment and the Second BCA Amendment, and as it may be further amended, supplemented or otherwise modified from time to time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a legal holiday on which commercial banking institutions in New York, New York, London, England, or George Town, Cayman Islands, are authorized to close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Closing PIPE Investors” </w:t>
      </w:r>
      <w:r>
        <w:rPr>
          <w:rFonts w:ascii="Times New Roman;Times;Serif" w:hAnsi="Times New Roman;Times;Serif"/>
          <w:b w:val="false"/>
          <w:i w:val="false"/>
          <w:caps w:val="false"/>
          <w:smallCaps w:val="false"/>
          <w:sz w:val="20"/>
        </w:rPr>
        <w:t>refers, collectively, to the certain investors that entered into the Closing PIPE Subscription Agreements that are identified on the signature pages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Closing PIPE Subscription Agreements”</w:t>
      </w:r>
      <w:r>
        <w:rPr>
          <w:rFonts w:ascii="Times New Roman;Times;Serif" w:hAnsi="Times New Roman;Times;Serif"/>
          <w:b w:val="false"/>
          <w:i w:val="false"/>
          <w:caps w:val="false"/>
          <w:smallCaps w:val="false"/>
          <w:sz w:val="20"/>
        </w:rPr>
        <w:t> means the Subscription Agreements, dated as of August 25, 2025 and March 19, 2026, respectively, by and between Air Water Holdings and the Closing 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Companies Act”</w:t>
      </w:r>
      <w:r>
        <w:rPr>
          <w:rFonts w:ascii="Times New Roman;Times;Serif" w:hAnsi="Times New Roman;Times;Serif"/>
          <w:b w:val="false"/>
          <w:i w:val="false"/>
          <w:caps w:val="false"/>
          <w:smallCaps w:val="false"/>
          <w:sz w:val="20"/>
        </w:rPr>
        <w:t> means the Companies Act (Revised)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Conversion Price”</w:t>
      </w:r>
      <w:r>
        <w:rPr>
          <w:rFonts w:ascii="Times New Roman;Times;Serif" w:hAnsi="Times New Roman;Times;Serif"/>
          <w:b w:val="false"/>
          <w:i w:val="false"/>
          <w:caps w:val="false"/>
          <w:smallCaps w:val="false"/>
          <w:sz w:val="20"/>
        </w:rPr>
        <w:t> means, with respect to each PubCo Series A Preferred Share, $12.00 (subject to adjustment as set forth in the PubCo A&amp;R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Convertible Loan Agreement” </w:t>
      </w:r>
      <w:r>
        <w:rPr>
          <w:rFonts w:ascii="Times New Roman;Times;Serif" w:hAnsi="Times New Roman;Times;Serif"/>
          <w:b w:val="false"/>
          <w:i w:val="false"/>
          <w:caps w:val="false"/>
          <w:smallCaps w:val="false"/>
          <w:sz w:val="20"/>
        </w:rPr>
        <w:t>means the Convertible Loan Agreement, dated as of May 23, 2024, as lender, as further amended by that Deed of Variation of Contract dated May 21, 2025, by and among Air Water UK, as borrower, and Tau Capital Holding — Sole Proprietorship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Convertible Securities”</w:t>
      </w:r>
      <w:r>
        <w:rPr>
          <w:rFonts w:ascii="Times New Roman;Times;Serif" w:hAnsi="Times New Roman;Times;Serif"/>
          <w:b w:val="false"/>
          <w:i w:val="false"/>
          <w:caps w:val="false"/>
          <w:smallCaps w:val="false"/>
          <w:sz w:val="20"/>
        </w:rPr>
        <w:t> means any shares or securities (other than Options) directly or indirectly convertible into or exercisable or exchangeable for, or which otherwise entitle the holder thereof to acquire, any PubCo Ordinary Shares and any securities of PubCo that when paired with one or more other securities of PubCo or another entity entitle the holder thereof to receive PubCo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Earnout Period”</w:t>
      </w:r>
      <w:r>
        <w:rPr>
          <w:rFonts w:ascii="Times New Roman;Times;Serif" w:hAnsi="Times New Roman;Times;Serif"/>
          <w:b w:val="false"/>
          <w:i w:val="false"/>
          <w:caps w:val="false"/>
          <w:smallCaps w:val="false"/>
          <w:sz w:val="20"/>
        </w:rPr>
        <w:t> means the time period beginning on the date that is the six-month anniversary of the Closing Date and ending on June 30,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EBITDA”</w:t>
      </w:r>
      <w:r>
        <w:rPr>
          <w:rFonts w:ascii="Times New Roman;Times;Serif" w:hAnsi="Times New Roman;Times;Serif"/>
          <w:b w:val="false"/>
          <w:i w:val="false"/>
          <w:caps w:val="false"/>
          <w:smallCaps w:val="false"/>
          <w:sz w:val="20"/>
        </w:rPr>
        <w:t> means, with respect to a particular fiscal quarter, PubCo’s consolidated net income for such fiscal quarter, calculated in accordance with IFRS, before giving effect to interest expense, taxes on income, depreciation or amortization as adjusted to (a) exclude any non-recuring revenue, one-time or extraordinary gains, income, costs or expenses and (b) add back any restructuring costs, charges or expenses, in each case incurred or recognized during such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EBITDA Run Rate”</w:t>
      </w:r>
      <w:r>
        <w:rPr>
          <w:rFonts w:ascii="Times New Roman;Times;Serif" w:hAnsi="Times New Roman;Times;Serif"/>
          <w:b w:val="false"/>
          <w:i w:val="false"/>
          <w:caps w:val="false"/>
          <w:smallCaps w:val="false"/>
          <w:sz w:val="20"/>
        </w:rPr>
        <w:t> means the projected EBITDA of PubCo for a 4-quarter period, which shall be calculated by multiplying the aggregate actual quarterly EBITDA publicly reported by PubCo for the Subject Quarters by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Eligible Air Water Holdings Equityholders”</w:t>
      </w:r>
      <w:r>
        <w:rPr>
          <w:rFonts w:ascii="Times New Roman;Times;Serif" w:hAnsi="Times New Roman;Times;Serif"/>
          <w:b w:val="false"/>
          <w:i w:val="false"/>
          <w:caps w:val="false"/>
          <w:smallCaps w:val="false"/>
          <w:sz w:val="20"/>
        </w:rPr>
        <w:t> means each holder of an issued and outstanding Air Water Holdings Ordinary Share, Air Water Holdings Series A-1 Preferred Share or Air Water Holdings Warrant, excluding any holders of Air Water Holdings Series A-1 Preferred Shares or Air Water Holdings Warrants that are not Pre-Funded PIPE Investors as of the date of the Second BCA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Equitable Adjustment”</w:t>
      </w:r>
      <w:r>
        <w:rPr>
          <w:rFonts w:ascii="Times New Roman;Times;Serif" w:hAnsi="Times New Roman;Times;Serif"/>
          <w:b w:val="false"/>
          <w:i w:val="false"/>
          <w:caps w:val="false"/>
          <w:smallCaps w:val="false"/>
          <w:sz w:val="20"/>
        </w:rPr>
        <w:t> means, in the event that, (a) following August 25, 2025 but prior to the Closing (with respect to holders of Air Water Holdings Ordinary Shares) or (b) following the Closing but prior to an applicable Triggering Event (with respect to Eligible Air Water Holdings Equityholders and the PSU Holders), the number of outstanding PubCo Ordinary Shares shall have been changed into a different number of shares or a different class by reason of any reclassification, share split (including a reverse share split), reorganization, recapitalization, split-up, combination, exchange of shares, readjustment, or other similar transaction, or a share dividend or share distribution with a record date within said period, an equitable adjustment as necessary to provide the holders of Air Water Holdings Ordinary Shares or the Eligible Air Water Holdings Equityholders or PSU Holders, as applicable, with the same economic effect as contemplated by the Business Combination Agreement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Excluded Shares”</w:t>
      </w:r>
      <w:r>
        <w:rPr>
          <w:rFonts w:ascii="Times New Roman;Times;Serif" w:hAnsi="Times New Roman;Times;Serif"/>
          <w:b w:val="false"/>
          <w:i w:val="false"/>
          <w:caps w:val="false"/>
          <w:smallCaps w:val="false"/>
          <w:sz w:val="20"/>
        </w:rPr>
        <w:t> means Inflection Point Ordinary Shares, if any, held in the treasury of Inflection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First BCA Amendment”</w:t>
      </w:r>
      <w:r>
        <w:rPr>
          <w:rFonts w:ascii="Times New Roman;Times;Serif" w:hAnsi="Times New Roman;Times;Serif"/>
          <w:b w:val="false"/>
          <w:i w:val="false"/>
          <w:caps w:val="false"/>
          <w:smallCaps w:val="false"/>
          <w:sz w:val="20"/>
        </w:rPr>
        <w:t> refers to the Amendment to Business Combination Agreement, dated as of December 31, 2025, by and between Air Water Holdings and Inflection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means the merger of Inflection Point with and into PubCo, as a result of which the separate corporate existence of Inflection Point shall cease and PubCo shall continue as the surviving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xml:space="preserve"> means any federal, state, local, foreign or other governmental, quasi-governmental, Tax, regulatory or administrative body, instrumentality, department or agency or any court, tribunal, administrative hearing body, arbitration panel, commission, or other similar dispute-resolving panel or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as promulgated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w:t>
      </w:r>
      <w:r>
        <w:rPr>
          <w:rFonts w:ascii="Times New Roman;Times;Serif" w:hAnsi="Times New Roman;Times;Serif"/>
          <w:b w:val="false"/>
          <w:i w:val="false"/>
          <w:caps w:val="false"/>
          <w:smallCaps w:val="false"/>
          <w:sz w:val="20"/>
        </w:rPr>
        <w:t>means Inflection Point Acquisition Corp. III, a Cayman Islands 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Class A Ordinary Shares”</w:t>
      </w:r>
      <w:r>
        <w:rPr>
          <w:rFonts w:ascii="Times New Roman;Times;Serif" w:hAnsi="Times New Roman;Times;Serif"/>
          <w:b w:val="false"/>
          <w:i w:val="false"/>
          <w:caps w:val="false"/>
          <w:smallCaps w:val="false"/>
          <w:sz w:val="20"/>
        </w:rPr>
        <w:t> means the Class A ordinary shares, par value $0.0001 per share, of Inflection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Class B Ordinary Shares”</w:t>
      </w:r>
      <w:r>
        <w:rPr>
          <w:rFonts w:ascii="Times New Roman;Times;Serif" w:hAnsi="Times New Roman;Times;Serif"/>
          <w:b w:val="false"/>
          <w:i w:val="false"/>
          <w:caps w:val="false"/>
          <w:smallCaps w:val="false"/>
          <w:sz w:val="20"/>
        </w:rPr>
        <w:t> means the Class B ordinary shares, par value $0.0001 per share, of Inflection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Ordinary Shares”</w:t>
      </w:r>
      <w:r>
        <w:rPr>
          <w:rFonts w:ascii="Times New Roman;Times;Serif" w:hAnsi="Times New Roman;Times;Serif"/>
          <w:b w:val="false"/>
          <w:i w:val="false"/>
          <w:caps w:val="false"/>
          <w:smallCaps w:val="false"/>
          <w:sz w:val="20"/>
        </w:rPr>
        <w:t> means the Inflection Point Class A Ordinary Shares and the Inflection Point Class B Ordinary Shares,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Organizational Documents”</w:t>
      </w:r>
      <w:r>
        <w:rPr>
          <w:rFonts w:ascii="Times New Roman;Times;Serif" w:hAnsi="Times New Roman;Times;Serif"/>
          <w:b w:val="false"/>
          <w:i w:val="false"/>
          <w:caps w:val="false"/>
          <w:smallCaps w:val="false"/>
          <w:sz w:val="20"/>
        </w:rPr>
        <w:t> means the amended and restated memorandum and articles of association of Inflection Point dated April 24, 2025, as the same may be amended or modified from time to time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Public Unit”</w:t>
      </w:r>
      <w:r>
        <w:rPr>
          <w:rFonts w:ascii="Times New Roman;Times;Serif" w:hAnsi="Times New Roman;Times;Serif"/>
          <w:b w:val="false"/>
          <w:i w:val="false"/>
          <w:caps w:val="false"/>
          <w:smallCaps w:val="false"/>
          <w:sz w:val="20"/>
        </w:rPr>
        <w:t> means a unit consisting of one Public Share and one Inflection Point Right issued in the Inflection Point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Right”</w:t>
      </w:r>
      <w:r>
        <w:rPr>
          <w:rFonts w:ascii="Times New Roman;Times;Serif" w:hAnsi="Times New Roman;Times;Serif"/>
          <w:b w:val="false"/>
          <w:i w:val="false"/>
          <w:caps w:val="false"/>
          <w:smallCaps w:val="false"/>
          <w:sz w:val="20"/>
        </w:rPr>
        <w:t> means a right to receive one-tenth (1/10) of one Inflection Point Class A Ordinary Share in accordance with the terms of the Inflection Point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Rights Agreement”</w:t>
      </w:r>
      <w:r>
        <w:rPr>
          <w:rFonts w:ascii="Times New Roman;Times;Serif" w:hAnsi="Times New Roman;Times;Serif"/>
          <w:b w:val="false"/>
          <w:i w:val="false"/>
          <w:caps w:val="false"/>
          <w:smallCaps w:val="false"/>
          <w:sz w:val="20"/>
        </w:rPr>
        <w:t> means the Rights Agreement between Inflection Point and Continental Stock Transfer &amp; Trust Company, dated April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Shareholders”</w:t>
      </w:r>
      <w:r>
        <w:rPr>
          <w:rFonts w:ascii="Times New Roman;Times;Serif" w:hAnsi="Times New Roman;Times;Serif"/>
          <w:b w:val="false"/>
          <w:i w:val="false"/>
          <w:caps w:val="false"/>
          <w:smallCaps w:val="false"/>
          <w:sz w:val="20"/>
        </w:rPr>
        <w:t> means the holders of Inflection Point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Inflection Point Unit”</w:t>
      </w:r>
      <w:r>
        <w:rPr>
          <w:rFonts w:ascii="Times New Roman;Times;Serif" w:hAnsi="Times New Roman;Times;Serif"/>
          <w:b w:val="false"/>
          <w:i w:val="false"/>
          <w:caps w:val="false"/>
          <w:smallCaps w:val="false"/>
          <w:sz w:val="20"/>
        </w:rPr>
        <w:t> means a unit consisting of one Inflection Point Class A Ordinary Share and one Inflection Point Right, including the units initially issued in the IPO, the private placement conducted concurrently with the IPO, and any units issued upon conversion of working capital loans to Inflection Point pursuant to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IPAM”</w:t>
      </w:r>
      <w:r>
        <w:rPr>
          <w:rFonts w:ascii="Times New Roman;Times;Serif" w:hAnsi="Times New Roman;Times;Serif"/>
          <w:b w:val="false"/>
          <w:i w:val="false"/>
          <w:caps w:val="false"/>
          <w:smallCaps w:val="false"/>
          <w:sz w:val="20"/>
        </w:rPr>
        <w:t> means Inflection Point Asset Management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IPO”</w:t>
      </w:r>
      <w:r>
        <w:rPr>
          <w:rFonts w:ascii="Times New Roman;Times;Serif" w:hAnsi="Times New Roman;Times;Serif"/>
          <w:b w:val="false"/>
          <w:i w:val="false"/>
          <w:caps w:val="false"/>
          <w:smallCaps w:val="false"/>
          <w:sz w:val="20"/>
        </w:rPr>
        <w:t> means the initial public offering of the Inflection Point Public Units pursuant to the IPO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IPO Prospectus”</w:t>
      </w:r>
      <w:r>
        <w:rPr>
          <w:rFonts w:ascii="Times New Roman;Times;Serif" w:hAnsi="Times New Roman;Times;Serif"/>
          <w:b w:val="false"/>
          <w:i w:val="false"/>
          <w:caps w:val="false"/>
          <w:smallCaps w:val="false"/>
          <w:sz w:val="20"/>
        </w:rPr>
        <w:t> means the final prospectus of Inflection Point, dated as of April 24, 2025, and filed with the SEC on April 25, 2025 (File No. 333-283427).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xml:space="preserve"> means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New Registration Rights Agreement”</w:t>
      </w:r>
      <w:r>
        <w:rPr>
          <w:rFonts w:ascii="Times New Roman;Times;Serif" w:hAnsi="Times New Roman;Times;Serif"/>
          <w:b w:val="false"/>
          <w:i w:val="false"/>
          <w:caps w:val="false"/>
          <w:smallCaps w:val="false"/>
          <w:sz w:val="20"/>
        </w:rPr>
        <w:t> means the New Registration Rights Agreement to be entered into by and among PubCo, Air Water Holdings, Inflection Point, the Sponsor, and the Holders (as defined in the New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Options”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means any rights, warrants or options to subscribe for or purchase PubCo Ordinary Shares or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Ordinary Share Price”</w:t>
      </w:r>
      <w:r>
        <w:rPr>
          <w:rFonts w:ascii="Times New Roman;Times;Serif" w:hAnsi="Times New Roman;Times;Serif"/>
          <w:b w:val="false"/>
          <w:i w:val="false"/>
          <w:caps w:val="false"/>
          <w:smallCaps w:val="false"/>
          <w:sz w:val="20"/>
        </w:rPr>
        <w:t> means the share price equal to the closing sale price of one PubCo Ordinary Share as reported on Nasdaq (or the exchange on which the PubCo Ordinary Shares are then listed) for a period of at least 30 Trading Days out of 45 consecutive Trading Days ending on the Trading Day immediately prior to the date of determination, in each case subject to Equitable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PIPE Investors” </w:t>
      </w:r>
      <w:r>
        <w:rPr>
          <w:rFonts w:ascii="Times New Roman;Times;Serif" w:hAnsi="Times New Roman;Times;Serif"/>
          <w:b w:val="false"/>
          <w:i w:val="false"/>
          <w:caps w:val="false"/>
          <w:smallCaps w:val="false"/>
          <w:sz w:val="20"/>
        </w:rPr>
        <w:t>means IPF, the other Pre-Funded PIPE Investors and the Closing 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Pre-Funded PIPE Investors” </w:t>
      </w:r>
      <w:r>
        <w:rPr>
          <w:rFonts w:ascii="Times New Roman;Times;Serif" w:hAnsi="Times New Roman;Times;Serif"/>
          <w:b w:val="false"/>
          <w:i w:val="false"/>
          <w:caps w:val="false"/>
          <w:smallCaps w:val="false"/>
          <w:sz w:val="20"/>
        </w:rPr>
        <w:t>refers, collectively, to the investors that entered into the Pre-Funded PIPE Subscription Agreement that are identified on the signature pages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Pre-Funded PIPE Subscription Agreement”</w:t>
      </w:r>
      <w:r>
        <w:rPr>
          <w:rFonts w:ascii="Times New Roman;Times;Serif" w:hAnsi="Times New Roman;Times;Serif"/>
          <w:b w:val="false"/>
          <w:i w:val="false"/>
          <w:caps w:val="false"/>
          <w:smallCaps w:val="false"/>
          <w:sz w:val="20"/>
        </w:rPr>
        <w:t xml:space="preserve"> means the Pre-Funded PIPE Subscription Agreements, dated as of August 25, 2025 and March 19, 2026, respectively, by and among Air Water Holdings and the Pre-Funded 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Private Placement Restricted Securities”</w:t>
      </w:r>
      <w:r>
        <w:rPr>
          <w:rFonts w:ascii="Times New Roman;Times;Serif" w:hAnsi="Times New Roman;Times;Serif"/>
          <w:b w:val="false"/>
          <w:i w:val="false"/>
          <w:caps w:val="false"/>
          <w:smallCaps w:val="false"/>
          <w:sz w:val="20"/>
        </w:rPr>
        <w:t> means the PubCo Ordinary Shares issued to the Sponsor pursuant to the Business Combination Agreement in exchange for the 500,000 Private Placement Units (together with any dividends or distributions with respect to such securities or into which such securities are changed or exchanged or which are received in any recapitalization, share exchange, share conversion or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Private Placement Units”</w:t>
      </w:r>
      <w:r>
        <w:rPr>
          <w:rFonts w:ascii="Times New Roman;Times;Serif" w:hAnsi="Times New Roman;Times;Serif"/>
          <w:b w:val="false"/>
          <w:i w:val="false"/>
          <w:caps w:val="false"/>
          <w:smallCaps w:val="false"/>
          <w:sz w:val="20"/>
        </w:rPr>
        <w:t> means the aggregate of 740,000 Inflection Point Units purchased by Inflection Point Holdings III LLC and Cantor Fitzgerald &amp; Co., the representative of the underwriters of Inflection Point’s IPO, in a private placement concurrent with Inflection Point’s IPO, for an aggregate of $7,400,000.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PSU Holder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each individual designated as a PSU Holder pursuant to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A&amp;R Articles” </w:t>
      </w:r>
      <w:r>
        <w:rPr>
          <w:rFonts w:ascii="Times New Roman;Times;Serif" w:hAnsi="Times New Roman;Times;Serif"/>
          <w:b w:val="false"/>
          <w:i w:val="false"/>
          <w:caps w:val="false"/>
          <w:smallCaps w:val="false"/>
          <w:sz w:val="20"/>
        </w:rPr>
        <w:t>means PubCo’s amended and restated memorandum and articles of association to be adopted in connection with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Board” </w:t>
      </w:r>
      <w:r>
        <w:rPr>
          <w:rFonts w:ascii="Times New Roman;Times;Serif" w:hAnsi="Times New Roman;Times;Serif"/>
          <w:b w:val="false"/>
          <w:i w:val="false"/>
          <w:caps w:val="false"/>
          <w:smallCaps w:val="false"/>
          <w:sz w:val="20"/>
        </w:rPr>
        <w:t>means the Board of Directors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Ordinary Shares”</w:t>
      </w:r>
      <w:r>
        <w:rPr>
          <w:rFonts w:ascii="Times New Roman;Times;Serif" w:hAnsi="Times New Roman;Times;Serif"/>
          <w:b w:val="false"/>
          <w:i w:val="false"/>
          <w:caps w:val="false"/>
          <w:smallCaps w:val="false"/>
          <w:sz w:val="20"/>
        </w:rPr>
        <w:t> means the ordinary shares of U.S. $0.001 par value per share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Preferred Share Issue Price”</w:t>
      </w:r>
      <w:r>
        <w:rPr>
          <w:rFonts w:ascii="Times New Roman;Times;Serif" w:hAnsi="Times New Roman;Times;Serif"/>
          <w:b w:val="false"/>
          <w:i w:val="false"/>
          <w:caps w:val="false"/>
          <w:smallCaps w:val="false"/>
          <w:sz w:val="20"/>
        </w:rPr>
        <w:t xml:space="preserve"> means $1,000 per PubCo Series A Preferred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Securities”</w:t>
      </w:r>
      <w:r>
        <w:rPr>
          <w:rFonts w:ascii="Times New Roman;Times;Serif" w:hAnsi="Times New Roman;Times;Serif"/>
          <w:b w:val="false"/>
          <w:i w:val="false"/>
          <w:caps w:val="false"/>
          <w:smallCaps w:val="false"/>
          <w:sz w:val="20"/>
        </w:rPr>
        <w:t> means the PubCo Ordinary Shares, the PubCo Series A Preferred Shares and the PubCo Series A Investor Warrants,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Series A Investor Warrants”</w:t>
      </w:r>
      <w:r>
        <w:rPr>
          <w:rFonts w:ascii="Times New Roman;Times;Serif" w:hAnsi="Times New Roman;Times;Serif"/>
          <w:b w:val="false"/>
          <w:i w:val="false"/>
          <w:caps w:val="false"/>
          <w:smallCaps w:val="false"/>
          <w:sz w:val="20"/>
        </w:rPr>
        <w:t> means warrants to purchase a number of PubCo Ordinary Shares equal to (x) the number of Air Water Holdings Ordinary Shares issuable upon conversion of the applicable Pre-Funded PIPE Investor’s or PIPE Investor’s Air Water Holdings Series A Preferred Shares upon a hypothetical conversion of such Air Water Holdings Series A Preferred Shares immediately prior to the Second Merger multiplied by (y)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PubCo Series A Preferred Shares”</w:t>
      </w:r>
      <w:r>
        <w:rPr>
          <w:rFonts w:ascii="Times New Roman;Times;Serif" w:hAnsi="Times New Roman;Times;Serif"/>
          <w:b w:val="false"/>
          <w:i w:val="false"/>
          <w:caps w:val="false"/>
          <w:smallCaps w:val="false"/>
          <w:sz w:val="20"/>
        </w:rPr>
        <w:t> means the series A redeemable preference shares of U.S. $0.001 par value per share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Public Shareholder” </w:t>
      </w:r>
      <w:r>
        <w:rPr>
          <w:rFonts w:ascii="Times New Roman;Times;Serif" w:hAnsi="Times New Roman;Times;Serif"/>
          <w:b w:val="false"/>
          <w:i w:val="false"/>
          <w:caps w:val="false"/>
          <w:smallCaps w:val="false"/>
          <w:sz w:val="20"/>
        </w:rPr>
        <w:t>means a holder of Public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Public Shares” </w:t>
      </w:r>
      <w:r>
        <w:rPr>
          <w:rFonts w:ascii="Times New Roman;Times;Serif" w:hAnsi="Times New Roman;Times;Serif"/>
          <w:b w:val="false"/>
          <w:i w:val="false"/>
          <w:caps w:val="false"/>
          <w:smallCaps w:val="false"/>
          <w:sz w:val="20"/>
        </w:rPr>
        <w:t>means the Inflection Point Class A Ordinary Shares included in the Inflection Point Units issued in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Redeeming SPAC Share”</w:t>
      </w:r>
      <w:r>
        <w:rPr>
          <w:rFonts w:ascii="Times New Roman;Times;Serif" w:hAnsi="Times New Roman;Times;Serif"/>
          <w:b w:val="false"/>
          <w:i w:val="false"/>
          <w:caps w:val="false"/>
          <w:smallCaps w:val="false"/>
          <w:sz w:val="20"/>
        </w:rPr>
        <w:t xml:space="preserve"> means each Inflection Point Ordinary Share in respect of which the applicable holder thereof has validly exercised its Redemption Right (and not waived, withdrawn or otherwise lost such rights in accordance with the terms of the SPAC Charter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means an amount equal to the price at which each Public Share may be redeemed in connection with the Business Combination pursuant to the Inflection Point Organizational Documents, which price will be the per-share price, equal to a pro rata portion of the aggregate amount on deposit in the Trust Account as of two Business Days prior to the completion of the Business Combination, calculated in accordance with the Inflection Point Organizational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Security”</w:t>
      </w:r>
      <w:r>
        <w:rPr>
          <w:rFonts w:ascii="Times New Roman;Times;Serif" w:hAnsi="Times New Roman;Times;Serif"/>
          <w:b w:val="false"/>
          <w:i w:val="false"/>
          <w:caps w:val="false"/>
          <w:smallCaps w:val="false"/>
          <w:sz w:val="20"/>
        </w:rPr>
        <w:t> means (a) any PubCo Ordinary Shares held by a Holder (as defined in the New Registration Rights Agreement) immediately following the Closing, (b) any PubCo Ordinary Shares that may be acquired by Holders upon the exercise, conversion or redemption of any other security of PubCo or other right to acquire PubCo Ordinary Shares held by a Holder immediately following the Closing, (c) any outstanding PubCo Ordinary Shares or other equity securities (including the PubCo Ordinary Shares issued or issuable upon the exercise of any other equity security) of PubCo held by a Holder on or following the date of the New Registration Rights Agreement to the extent such securities are “restricted securities” or are held by an “affiliate” (each as defined in Rule 144 under the Securities Act) and (d) any other equity security, including any warrants, PubCo Ordinary Shares or other securities of PubCo, issued or issuable with respect to any securities referenced in clauses (a), (b) or (c) above by way of share dividend or share split or in connection with a combination of shares, recapitalization, merger, consolidation, spin-off, reorganization or similar transaction; provided, however,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(iv) such securities may be sold without registration, including pursuant to Rule 144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promulgated under the Securities Act (or any successor rule promulgated thereafter by the Commission) (but with no volume or other restrictions or limitations including as to manner or timing of sale or current public information requirements under Rule 144(i) (to the extent applicable)); or (v) such securities have been sold to, or through, a broker, dealer or underwriter in a public distribution or other public securities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xi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Revenue Run Rate”</w:t>
      </w:r>
      <w:r>
        <w:rPr>
          <w:rFonts w:ascii="Times New Roman;Times;Serif" w:hAnsi="Times New Roman;Times;Serif"/>
          <w:b w:val="false"/>
          <w:i w:val="false"/>
          <w:caps w:val="false"/>
          <w:smallCaps w:val="false"/>
          <w:sz w:val="20"/>
        </w:rPr>
        <w:t> means the projected revenue of PubCo for a 4-quarter period, which shall be calculated by multiplying the aggregate actual quarterly Revenue publicly reported by PubCo for the Subject Quarters by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U.S. Securities and Exchange Commission (or any successor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Second BCA Amendment”</w:t>
      </w:r>
      <w:r>
        <w:rPr>
          <w:rFonts w:ascii="Times New Roman;Times;Serif" w:hAnsi="Times New Roman;Times;Serif"/>
          <w:b w:val="false"/>
          <w:i w:val="false"/>
          <w:caps w:val="false"/>
          <w:smallCaps w:val="false"/>
          <w:sz w:val="20"/>
        </w:rPr>
        <w:t> refers to the Second Amendment to Business Combination Agreement, dated as of June 5, 2026, between Air Water Holdings and Inflection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Second Merger” </w:t>
      </w:r>
      <w:r>
        <w:rPr>
          <w:rFonts w:ascii="Times New Roman;Times;Serif" w:hAnsi="Times New Roman;Times;Serif"/>
          <w:b w:val="false"/>
          <w:i w:val="false"/>
          <w:caps w:val="false"/>
          <w:smallCaps w:val="false"/>
          <w:sz w:val="20"/>
        </w:rPr>
        <w:t>means the merger of Air Water Holdings with and into Merger Sub, as a result of which the separate corporate existence of Air Water Holdings shall cease and Merger Sub shall continue as the surviving company and a wholly owned direct subsidiary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SPAC Dissenting Share”</w:t>
      </w:r>
      <w:r>
        <w:rPr>
          <w:rFonts w:ascii="Times New Roman;Times;Serif" w:hAnsi="Times New Roman;Times;Serif"/>
          <w:b w:val="false"/>
          <w:i w:val="false"/>
          <w:caps w:val="false"/>
          <w:smallCaps w:val="false"/>
          <w:sz w:val="20"/>
        </w:rPr>
        <w:t xml:space="preserve"> means each Inflection Point Ordinary Share in respect of which the applicable holder thereof has validly exercised in writing dissenter rights in accordance with Section 238 of the Companies Act and who has otherwise complied with all of the provisions of the Companies Act relevant to the exercise and perfection of dissenters’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means Inflection Point Holdings III LLC, a Delaware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Subject Quarters”</w:t>
      </w:r>
      <w:r>
        <w:rPr>
          <w:rFonts w:ascii="Times New Roman;Times;Serif" w:hAnsi="Times New Roman;Times;Serif"/>
          <w:b w:val="false"/>
          <w:i w:val="false"/>
          <w:caps w:val="false"/>
          <w:smallCaps w:val="false"/>
          <w:sz w:val="20"/>
        </w:rPr>
        <w:t> means, for purposes of calculating Revenue Run Rate and EBITDA Run Rate, the two most recently completed fiscal quarters of PubCo as of the date of calculation of Revenue Run Rate or EBITDA Run Rate,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Subscription Agreements” </w:t>
      </w:r>
      <w:r>
        <w:rPr>
          <w:rFonts w:ascii="Times New Roman;Times;Serif" w:hAnsi="Times New Roman;Times;Serif"/>
          <w:b w:val="false"/>
          <w:i w:val="false"/>
          <w:caps w:val="false"/>
          <w:smallCaps w:val="false"/>
          <w:sz w:val="20"/>
        </w:rPr>
        <w:t>means the Pre-Funded PIPE Subscription Agreement and the Closing PIPE Subscription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PubCo Ordinary Shares are actually traded on the principal securities exchange or securities market on which PubCo Ordinary Shares are then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Triggering Event”</w:t>
      </w:r>
      <w:r>
        <w:rPr>
          <w:rFonts w:ascii="Times New Roman;Times;Serif" w:hAnsi="Times New Roman;Times;Serif"/>
          <w:b w:val="false"/>
          <w:i w:val="false"/>
          <w:caps w:val="false"/>
          <w:smallCaps w:val="false"/>
          <w:sz w:val="20"/>
        </w:rPr>
        <w:t> means either Triggering Event I, Triggering Event II, Triggering Event III or Triggering Event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Triggering Event I”</w:t>
      </w:r>
      <w:r>
        <w:rPr>
          <w:rFonts w:ascii="Times New Roman;Times;Serif" w:hAnsi="Times New Roman;Times;Serif"/>
          <w:b w:val="false"/>
          <w:i w:val="false"/>
          <w:caps w:val="false"/>
          <w:smallCaps w:val="false"/>
          <w:sz w:val="20"/>
        </w:rPr>
        <w:t> shall occur if, on or prior to the quarter ending December 31, 2027, the Revenue Run Rate equals or exceeds $80,000,000.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Triggering Event II”</w:t>
      </w:r>
      <w:r>
        <w:rPr>
          <w:rFonts w:ascii="Times New Roman;Times;Serif" w:hAnsi="Times New Roman;Times;Serif"/>
          <w:b w:val="false"/>
          <w:i w:val="false"/>
          <w:caps w:val="false"/>
          <w:smallCaps w:val="false"/>
          <w:sz w:val="20"/>
        </w:rPr>
        <w:t> shall occur if, on or prior to the quarter ending December 31, 2027, the EBITDA Run Rate equals or exceeds $30,000,000.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Triggering Event III”</w:t>
      </w:r>
      <w:r>
        <w:rPr>
          <w:rFonts w:ascii="Times New Roman;Times;Serif" w:hAnsi="Times New Roman;Times;Serif"/>
          <w:b w:val="false"/>
          <w:i w:val="false"/>
          <w:caps w:val="false"/>
          <w:smallCaps w:val="false"/>
          <w:sz w:val="20"/>
        </w:rPr>
        <w:t> shall occur if, on or prior to the quarter ending June 30, 2028, (a) the Revenue Run Rate equals or exceeds $160,000,000 and (b) the EBITDA Run Rate equals or exceeds $70,000,000.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Triggering Event IV”</w:t>
      </w:r>
      <w:r>
        <w:rPr>
          <w:rFonts w:ascii="Times New Roman;Times;Serif" w:hAnsi="Times New Roman;Times;Serif"/>
          <w:b w:val="false"/>
          <w:i w:val="false"/>
          <w:caps w:val="false"/>
          <w:smallCaps w:val="false"/>
          <w:sz w:val="20"/>
        </w:rPr>
        <w:t> shall occur if, within the Earnout Period, the Ordinary Share Price is greater than or equal to $20.00, subject to Equitable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 Account”</w:t>
      </w:r>
      <w:r>
        <w:rPr>
          <w:rFonts w:ascii="Times New Roman;Times;Serif" w:hAnsi="Times New Roman;Times;Serif"/>
          <w:b w:val="false"/>
          <w:i w:val="false"/>
          <w:caps w:val="false"/>
          <w:smallCaps w:val="false"/>
          <w:sz w:val="20"/>
        </w:rPr>
        <w:t> means the trust account established by Inflection Point for the benefit of its Public Shareholders and the underwriters of its IPO with the proceeds from the IPO and certain proceeds from the sale of the Private Placement Units, pursuant to the Trust Agreement in accordance with the IPO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that certain Investment Management Trust Agreement, dated as of April 24, 2025, as it may be amended (including to accommodate the First Merger), by and between Inflection Point and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Continental Stock Transfer &amp; Trust Company, a New York corporation, in its capacity as trustee under the Trust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Item 1. Identity of Directors, Senior Management and Advisers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Directors and Senior Management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directors and executive officers of PubCo after the completion of the Transactions is included in the Proxy Statement/Prospectus under the section titled “</w:t>
      </w:r>
      <w:r>
        <w:rPr>
          <w:rFonts w:ascii="Times New Roman;Times;Serif" w:hAnsi="Times New Roman;Times;Serif"/>
          <w:b w:val="false"/>
          <w:i/>
          <w:caps w:val="false"/>
          <w:smallCaps w:val="false"/>
          <w:sz w:val="20"/>
        </w:rPr>
        <w:t>Management of PubCo After the Business Combination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for each of the directors and executive officers of PubCo is Unit 3, Kizad KLP FZ, Kizad, Abu Dhabi, United Arab Emirates, P.O. Box 109214.</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Advisers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Lewis &amp; Bockius LLP acts as U.S. securities counsel for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(Cayman) LLP acts as counsel for PubCo with respect to matters relating to Cayman Islands law.</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Auditors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Thornton Audit and Accounting Limited (Dubai Branch), located in Dubai, United Arab Emirates, has acted as PubCo’s independent registered public accounting firm from PubCo’s inception in 2025 through the consummation of the Transactions and is expected to serve as PubCo’s independent registered public accounting firm after the consummation of the Transactions. Grant Thornton Audit and Accounting Limited (Dubai Branch) is registered with the Public Company Accounting Oversight Board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Thornton Audit and Accounting Limited (Dubai Branch), located in Dubai, United Arab Emirates, has acted as Air Water Holdings’s independent registered public accounting firm from inception in 2025 through the consummation of the Transactions. Grant Thornton Audit and Accounting Limited (Dubai Branch) is registered with the Public Company Accounting Oversight Board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UHY LLP, located in New York, New York, has acted as Inflection Point’s independent registered public accounting firm from 2024 through the consummation of the Transactions. UHY LLP is registered with the Public Company Accounting Oversight Board (United States).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Item 2. Offer Statistics and Expected Timetable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Item 3. Key Information</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[Reserved]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capitalization and indebtedness is included in the Proxy Statement/Prospectus under the section entitled “</w:t>
      </w:r>
      <w:r>
        <w:rPr>
          <w:rFonts w:ascii="Times New Roman;Times;Serif" w:hAnsi="Times New Roman;Times;Serif"/>
          <w:b w:val="false"/>
          <w:i/>
          <w:caps w:val="false"/>
          <w:smallCaps w:val="false"/>
          <w:sz w:val="20"/>
        </w:rPr>
        <w:t>Unaudited Pro Forma Condensed Combined Financial Information</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related to the business and operations of PubCo are described in the Proxy Statement/Prospectus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Item 4. Information on Air Water ventures limited</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History and Development of Air Water Ventures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 or “PubCo” is a Cayman Islands exempted company incorporated on August 8, 2025. PubCo was formed for the sole purpose of entering into and consummating the Transactions. The principal executive office of PubCo is Unit 3, Kizad KLP FZ, Kizad, Abu Dhabi, United Arab Emirates, PO Box 109214, and the telephone number of PubCo is +1 305-939-4922.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Explanatory Note</w:t>
      </w:r>
      <w:r>
        <w:rPr>
          <w:rFonts w:ascii="Times New Roman;Times;Serif" w:hAnsi="Times New Roman;Times;Serif"/>
          <w:b w:val="false"/>
          <w:i w:val="false"/>
          <w:caps w:val="false"/>
          <w:smallCaps w:val="false"/>
          <w:sz w:val="20"/>
        </w:rPr>
        <w:t>” in this Report for additional information regarding PubCo and the Business Combination. Certain additional information about PubCo is included in the Proxy Statement/Prospectus under the sections titled “</w:t>
      </w:r>
      <w:r>
        <w:rPr>
          <w:rFonts w:ascii="Times New Roman;Times;Serif" w:hAnsi="Times New Roman;Times;Serif"/>
          <w:b w:val="false"/>
          <w:i/>
          <w:caps w:val="false"/>
          <w:smallCaps w:val="false"/>
          <w:sz w:val="20"/>
        </w:rPr>
        <w:t>Information About the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Company’s Management’s Discussion and Analysis of Financial Condition and Results of Operations</w:t>
      </w:r>
      <w:r>
        <w:rPr>
          <w:rFonts w:ascii="Times New Roman;Times;Serif" w:hAnsi="Times New Roman;Times;Serif"/>
          <w:b w:val="false"/>
          <w:i w:val="false"/>
          <w:caps w:val="false"/>
          <w:smallCaps w:val="false"/>
          <w:sz w:val="20"/>
        </w:rPr>
        <w:t>” and are incorporated herein by reference. The material terms of the Transactions are described in the Proxy Statement/Prospectus under the section titled “</w:t>
      </w:r>
      <w:r>
        <w:rPr>
          <w:rFonts w:ascii="Times New Roman;Times;Serif" w:hAnsi="Times New Roman;Times;Serif"/>
          <w:b w:val="false"/>
          <w:i/>
          <w:caps w:val="false"/>
          <w:smallCaps w:val="false"/>
          <w:sz w:val="20"/>
        </w:rPr>
        <w:t>Proposal No. 1—The Business Combination Proposal,</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subject to certain of the informational filing requirements of the Exchange Act. Since PubCo is a “foreign private issuer”, it is exempt from the rules and regulations under the Exchange Act prescribing the furnishing and content of proxy statements, and the officers, directors and principal shareholders of PubCo are exempt from the “short-swing” profit recovery provisions contained in Section 16(b) of the Exchange Act and the short sale prohibition under Section 16(c) of the Exchange Act. Additionally, PubCo’s beneficial owners of 10% or more of a class of PubCo’s equity securities registered under Section 12 of the Exchange Act will be exempt from Section 16 of the Exchange Act.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http://www.sec.gov that contains reports and other information that PubCo files with or furnishes electronically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website address of PubCo is </w:t>
      </w:r>
      <w:r>
        <w:rPr>
          <w:rFonts w:ascii="Times New Roman;Times;Serif" w:hAnsi="Times New Roman;Times;Serif"/>
          <w:b w:val="false"/>
          <w:i/>
          <w:caps w:val="false"/>
          <w:smallCaps w:val="false"/>
          <w:sz w:val="20"/>
        </w:rPr>
        <w:t>www.a1rwater.com</w:t>
      </w:r>
      <w:r>
        <w:rPr>
          <w:rFonts w:ascii="Times New Roman;Times;Serif" w:hAnsi="Times New Roman;Times;Serif"/>
          <w:b w:val="false"/>
          <w:i w:val="false"/>
          <w:caps w:val="false"/>
          <w:smallCaps w:val="false"/>
          <w:sz w:val="20"/>
        </w:rPr>
        <w:t>. The information contained on the website does not form a part of, and is not incorporated by reference into, this Report.</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Business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Transactions, PubCo did not conduct any material activities other than those incidental to its formation and the matters contemplated by the Business Combination Agreement, such as the making of certain required securities law filings. Upon the closing of the Transactions, PubCo became the direct parent of Air Water OpCo, resulting in a combined company whereby PubCo will own Air Water OpCo and substantially all of the assets and the business of the combined company will be held and operated by Air Water OpCo and its subsidiaries. PubCo is a sustainable water solutions company that specializes in making high quality drinking water by extracting humidity from the air. PubCo’s main line of business is premium packaged water, sold in aluminum cans and bottles and glass bottles. PubCo also manufactures and sells atmospheric water generators ranging from consumer units to industrial-scale systems capable of supporting utility-scale water farms.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business of PubCo is included in the Proxy Statement/Prospectus under the sections titled “</w:t>
      </w:r>
      <w:r>
        <w:rPr>
          <w:rFonts w:ascii="Times New Roman;Times;Serif" w:hAnsi="Times New Roman;Times;Serif"/>
          <w:b w:val="false"/>
          <w:i/>
          <w:caps w:val="false"/>
          <w:smallCaps w:val="false"/>
          <w:sz w:val="20"/>
        </w:rPr>
        <w:t>Information About the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Company’s Management’s Discussion and Analysis of Financial Condition and Results of Operations</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Organizational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Transactions, PubCo became the direct parent of Air Water OpCo and its subsidiaries. The organizational chart of PubCo is included on page 92 of the Proxy Statement/Prospectus under the header “</w:t>
      </w:r>
      <w:r>
        <w:rPr>
          <w:rFonts w:ascii="Times New Roman;Times;Serif" w:hAnsi="Times New Roman;Times;Serif"/>
          <w:b w:val="false"/>
          <w:i/>
          <w:caps w:val="false"/>
          <w:smallCaps w:val="false"/>
          <w:sz w:val="20"/>
        </w:rPr>
        <w:t>Proposal No. 1 – The Business Combination Proposal</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Property, Plants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facilities of PubCo, including those of its subsidiaries, and information regarding capital expenditures for any such facilities is included in the Proxy Statement/Prospectus under the sections titled “</w:t>
      </w:r>
      <w:r>
        <w:rPr>
          <w:rFonts w:ascii="Times New Roman;Times;Serif" w:hAnsi="Times New Roman;Times;Serif"/>
          <w:b w:val="false"/>
          <w:i/>
          <w:caps w:val="false"/>
          <w:smallCaps w:val="false"/>
          <w:sz w:val="20"/>
        </w:rPr>
        <w:t>Information About the Company—Our Products</w:t>
      </w:r>
      <w:r>
        <w:rPr>
          <w:rFonts w:ascii="Times New Roman;Times;Serif" w:hAnsi="Times New Roman;Times;Serif"/>
          <w:b w:val="false"/>
          <w:i w:val="false"/>
          <w:caps w:val="false"/>
          <w:smallCaps w:val="false"/>
          <w:sz w:val="20"/>
        </w:rPr>
        <w:t>” “—Manufacturing</w:t>
      </w:r>
      <w:r>
        <w:rPr>
          <w:rFonts w:ascii="Times New Roman;Times;Serif" w:hAnsi="Times New Roman;Times;Serif"/>
          <w:b w:val="false"/>
          <w:i/>
          <w:caps w:val="false"/>
          <w:smallCaps w:val="false"/>
          <w:sz w:val="20"/>
        </w:rPr>
        <w:t>, Suppliers, and Quality Control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Research &amp; Development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Property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Company’s Management’s Discussion and Analysis of Financial Condition and Results of Operations</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Item 4A. Unresolved Staff Comments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direct subsidiary, Air Water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the financial condition and results of operations of PubCo is included in the Proxy Statement/Prospectus under the sections titled “</w:t>
      </w:r>
      <w:r>
        <w:rPr>
          <w:rFonts w:ascii="Times New Roman;Times;Serif" w:hAnsi="Times New Roman;Times;Serif"/>
          <w:b w:val="false"/>
          <w:i/>
          <w:caps w:val="false"/>
          <w:smallCaps w:val="false"/>
          <w:sz w:val="20"/>
        </w:rPr>
        <w:t>Information About the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Company’s Management’s Discussion and Analysis of Financial Condition and Results of Operations</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Item 6. Directors, Senior Management and Employees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directors and executive officers of PubCo after the closing of the Business Combination is included in the Proxy Statement/Prospectus under the section titled “</w:t>
      </w:r>
      <w:r>
        <w:rPr>
          <w:rFonts w:ascii="Times New Roman;Times;Serif" w:hAnsi="Times New Roman;Times;Serif"/>
          <w:b w:val="false"/>
          <w:i/>
          <w:caps w:val="false"/>
          <w:smallCaps w:val="false"/>
          <w:sz w:val="20"/>
        </w:rPr>
        <w:t>Management of PubCo After the Business Combination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compensation of the directors and executive officers of PubCo, including a summary of the compensation plans, to be administered by the PubCo Board, is included in the Proxy Statement/Prospectus under the sections titled “</w:t>
      </w:r>
      <w:r>
        <w:rPr>
          <w:rFonts w:ascii="Times New Roman;Times;Serif" w:hAnsi="Times New Roman;Times;Serif"/>
          <w:b w:val="false"/>
          <w:i/>
          <w:caps w:val="false"/>
          <w:smallCaps w:val="false"/>
          <w:sz w:val="20"/>
        </w:rPr>
        <w:t>Management of PubCo After the Business Combination—Compensation of PubCo Executive Officers and Directors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Air Water Executive Compensation</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board of directors of PubCo is included in the Proxy Statement/Prospectus under the section titled “</w:t>
      </w:r>
      <w:r>
        <w:rPr>
          <w:rFonts w:ascii="Times New Roman;Times;Serif" w:hAnsi="Times New Roman;Times;Serif"/>
          <w:b w:val="false"/>
          <w:i/>
          <w:caps w:val="false"/>
          <w:smallCaps w:val="false"/>
          <w:sz w:val="20"/>
        </w:rPr>
        <w:t>Management of PubCo After the Business Combination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direct subsidiary, Air Water OpCo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employees of PubCo is included in the Proxy Statement/Prospectus under the section titled “</w:t>
      </w:r>
      <w:r>
        <w:rPr>
          <w:rFonts w:ascii="Times New Roman;Times;Serif" w:hAnsi="Times New Roman;Times;Serif"/>
          <w:b w:val="false"/>
          <w:i/>
          <w:caps w:val="false"/>
          <w:smallCaps w:val="false"/>
          <w:sz w:val="20"/>
        </w:rPr>
        <w:t>Information About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Human Capital Resources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ownership of PubCo’s Ordinary Shares by our directors and executive officers is set forth in Item 7.A of this Report.</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Item 7. Major Shareholders and Related Party Transactions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relating to the beneficial ownership of PubCo’s Ordinary Shares as of the Closing Date by: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each person, or group of affiliated persons, known by us to beneficially own more than 5% of outstanding PubCo Ordinary Shares;</w:t>
            </w:r>
          </w:p>
        </w:tc>
      </w:tr>
    </w:tbl>
    <w:p>
      <w:pPr>
        <w:pStyle w:val="TextBody"/>
        <w:bidi w:val="0"/>
        <w:spacing w:before="0" w:after="0"/>
        <w:ind w:left="72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775"/>
        <w:gridCol w:w="9257"/>
      </w:tblGrid>
      <w:tr>
        <w:trPr/>
        <w:tc>
          <w:tcPr>
            <w:tcW w:w="1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pPr>
            <w:r>
              <w:rPr/>
              <w:t>●</w:t>
            </w:r>
          </w:p>
        </w:tc>
        <w:tc>
          <w:tcPr>
            <w:tcW w:w="9257" w:type="dxa"/>
            <w:tcBorders/>
            <w:vAlign w:val="center"/>
          </w:tcPr>
          <w:p>
            <w:pPr>
              <w:pStyle w:val="TableContents"/>
              <w:bidi w:val="0"/>
              <w:spacing w:before="0" w:after="283"/>
              <w:jc w:val="left"/>
              <w:rPr/>
            </w:pPr>
            <w:r>
              <w:rPr/>
              <w:t>each of our directors;</w:t>
            </w:r>
          </w:p>
        </w:tc>
      </w:tr>
    </w:tbl>
    <w:p>
      <w:pPr>
        <w:pStyle w:val="TextBody"/>
        <w:bidi w:val="0"/>
        <w:spacing w:before="0" w:after="0"/>
        <w:ind w:left="720" w:right="0" w:hanging="3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6"/>
        <w:gridCol w:w="9599"/>
      </w:tblGrid>
      <w:tr>
        <w:trPr/>
        <w:tc>
          <w:tcPr>
            <w:tcW w:w="1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w:t>
            </w:r>
          </w:p>
        </w:tc>
        <w:tc>
          <w:tcPr>
            <w:tcW w:w="9599" w:type="dxa"/>
            <w:tcBorders/>
            <w:vAlign w:val="center"/>
          </w:tcPr>
          <w:p>
            <w:pPr>
              <w:pStyle w:val="TableContents"/>
              <w:bidi w:val="0"/>
              <w:spacing w:before="0" w:after="283"/>
              <w:jc w:val="left"/>
              <w:rPr/>
            </w:pPr>
            <w:r>
              <w:rPr/>
              <w:t>each of our executive officers;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left"/>
              <w:rPr/>
            </w:pPr>
            <w:r>
              <w:rPr/>
              <w:t>all of our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PubCo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table or footnotes below, PubCo believes that all persons named in the table below have sole voting and investment power with respect to all PubCo Ordinary Shares beneficially owned by them. To PubCo’s knowledge, no PubCo Ordinary Shares beneficially owned by any executive officer or director have been pledged as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PubCo’s Ordinary Shares beneficially owned is computed on the basis of 31,639,454 PubCo Ordinary Shares issued and outstanding on the Closing Date, after giving effect to the Transactions.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68"/>
        <w:gridCol w:w="60"/>
        <w:gridCol w:w="113"/>
        <w:gridCol w:w="2101"/>
        <w:gridCol w:w="60"/>
        <w:gridCol w:w="60"/>
        <w:gridCol w:w="264"/>
        <w:gridCol w:w="1947"/>
        <w:gridCol w:w="232"/>
      </w:tblGrid>
      <w:tr>
        <w:trPr/>
        <w:tc>
          <w:tcPr>
            <w:tcW w:w="5368" w:type="dxa"/>
            <w:tcBorders>
              <w:bottom w:val="single" w:sz="12" w:space="0" w:color="000000"/>
            </w:tcBorders>
            <w:vAlign w:val="center"/>
          </w:tcPr>
          <w:p>
            <w:pPr>
              <w:pStyle w:val="TableContents"/>
              <w:bidi w:val="0"/>
              <w:spacing w:before="0" w:after="283"/>
              <w:jc w:val="left"/>
              <w:rPr>
                <w:b/>
              </w:rPr>
            </w:pPr>
            <w:r>
              <w:rPr>
                <w:b/>
              </w:rPr>
              <w:t>Beneficial Owners</w:t>
            </w:r>
          </w:p>
        </w:tc>
        <w:tc>
          <w:tcPr>
            <w:tcW w:w="60" w:type="dxa"/>
            <w:tcBorders/>
            <w:tcMar>
              <w:bottom w:w="0" w:type="dxa"/>
            </w:tcMar>
            <w:vAlign w:val="center"/>
          </w:tcPr>
          <w:p>
            <w:pPr>
              <w:pStyle w:val="TableContents"/>
              <w:bidi w:val="0"/>
              <w:spacing w:before="0" w:after="283"/>
              <w:jc w:val="left"/>
              <w:rPr/>
            </w:pPr>
            <w:r>
              <w:rPr/>
              <w:t> </w:t>
            </w:r>
          </w:p>
        </w:tc>
        <w:tc>
          <w:tcPr>
            <w:tcW w:w="2214" w:type="dxa"/>
            <w:gridSpan w:val="2"/>
            <w:tcBorders>
              <w:bottom w:val="single" w:sz="12" w:space="0" w:color="000000"/>
            </w:tcBorders>
            <w:vAlign w:val="center"/>
          </w:tcPr>
          <w:p>
            <w:pPr>
              <w:pStyle w:val="TableContents"/>
              <w:bidi w:val="0"/>
              <w:spacing w:before="0" w:after="283"/>
              <w:jc w:val="center"/>
              <w:rPr>
                <w:b/>
              </w:rPr>
            </w:pPr>
            <w:r>
              <w:rPr>
                <w:b/>
              </w:rPr>
              <w:t>Number of</w:t>
              <w:br/>
              <w:t>PubCo Ordinary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1" w:type="dxa"/>
            <w:gridSpan w:val="2"/>
            <w:tcBorders>
              <w:bottom w:val="single" w:sz="12" w:space="0" w:color="000000"/>
            </w:tcBorders>
            <w:vAlign w:val="center"/>
          </w:tcPr>
          <w:p>
            <w:pPr>
              <w:pStyle w:val="TableContents"/>
              <w:bidi w:val="0"/>
              <w:spacing w:before="0" w:after="283"/>
              <w:jc w:val="center"/>
              <w:rPr>
                <w:b/>
              </w:rPr>
            </w:pPr>
            <w:r>
              <w:rPr>
                <w:b/>
              </w:rPr>
              <w:t xml:space="preserve">Percentage of all </w:t>
              <w:br/>
              <w:t>PubCo Ordinary Shares</w:t>
            </w:r>
          </w:p>
        </w:tc>
        <w:tc>
          <w:tcPr>
            <w:tcW w:w="232" w:type="dxa"/>
            <w:tcBorders/>
            <w:tcMar>
              <w:bottom w:w="0" w:type="dxa"/>
            </w:tcMar>
            <w:vAlign w:val="center"/>
          </w:tcPr>
          <w:p>
            <w:pPr>
              <w:pStyle w:val="TableContents"/>
              <w:bidi w:val="0"/>
              <w:spacing w:before="0" w:after="283"/>
              <w:jc w:val="left"/>
              <w:rPr/>
            </w:pPr>
            <w:r>
              <w:rPr/>
              <w:t> </w:t>
            </w:r>
          </w:p>
        </w:tc>
      </w:tr>
      <w:tr>
        <w:trPr/>
        <w:tc>
          <w:tcPr>
            <w:tcW w:w="5368" w:type="dxa"/>
            <w:tcBorders/>
            <w:tcMar>
              <w:bottom w:w="0" w:type="dxa"/>
            </w:tcMar>
            <w:vAlign w:val="center"/>
          </w:tcPr>
          <w:p>
            <w:pPr>
              <w:pStyle w:val="TableContents"/>
              <w:bidi w:val="0"/>
              <w:spacing w:before="0" w:after="283"/>
              <w:jc w:val="left"/>
              <w:rPr>
                <w:i/>
              </w:rPr>
            </w:pPr>
            <w:r>
              <w:rPr>
                <w:i/>
              </w:rPr>
              <w:t>Directors and Executive Officers</w:t>
            </w:r>
          </w:p>
        </w:tc>
        <w:tc>
          <w:tcPr>
            <w:tcW w:w="60" w:type="dxa"/>
            <w:tcBorders/>
            <w:tcMar>
              <w:bottom w:w="0" w:type="dxa"/>
            </w:tcMar>
            <w:vAlign w:val="center"/>
          </w:tcPr>
          <w:p>
            <w:pPr>
              <w:pStyle w:val="TableContents"/>
              <w:bidi w:val="0"/>
              <w:spacing w:before="0" w:after="283"/>
              <w:jc w:val="left"/>
              <w:rPr/>
            </w:pPr>
            <w:r>
              <w:rPr/>
              <w:t> </w:t>
            </w:r>
          </w:p>
        </w:tc>
        <w:tc>
          <w:tcPr>
            <w:tcW w:w="221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1" w:type="dxa"/>
            <w:gridSpan w:val="2"/>
            <w:tcBorders/>
            <w:tcMar>
              <w:bottom w:w="0" w:type="dxa"/>
            </w:tcMar>
            <w:vAlign w:val="center"/>
          </w:tcPr>
          <w:p>
            <w:pPr>
              <w:pStyle w:val="TableContents"/>
              <w:bidi w:val="0"/>
              <w:spacing w:before="0" w:after="283"/>
              <w:jc w:val="right"/>
              <w:rPr/>
            </w:pPr>
            <w:r>
              <w:rPr/>
              <w:t> </w:t>
            </w:r>
          </w:p>
        </w:tc>
        <w:tc>
          <w:tcPr>
            <w:tcW w:w="232" w:type="dxa"/>
            <w:tcBorders/>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CCEEFF" w:val="clear"/>
            <w:tcMar>
              <w:bottom w:w="0" w:type="dxa"/>
            </w:tcMar>
            <w:vAlign w:val="center"/>
          </w:tcPr>
          <w:p>
            <w:pPr>
              <w:pStyle w:val="TableContents"/>
              <w:bidi w:val="0"/>
              <w:spacing w:before="0" w:after="283"/>
              <w:jc w:val="left"/>
              <w:rPr/>
            </w:pPr>
            <w:r>
              <w:rPr/>
              <w:t>Ryan Bibbo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831,394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2.6</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FFFFFF" w:val="clear"/>
            <w:tcMar>
              <w:bottom w:w="0" w:type="dxa"/>
            </w:tcMar>
            <w:vAlign w:val="center"/>
          </w:tcPr>
          <w:p>
            <w:pPr>
              <w:pStyle w:val="TableContents"/>
              <w:bidi w:val="0"/>
              <w:spacing w:before="0" w:after="283"/>
              <w:jc w:val="left"/>
              <w:rPr/>
            </w:pPr>
            <w:r>
              <w:rPr/>
              <w:t>Peter Carr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1,131,124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3.6</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CCEEFF" w:val="clear"/>
            <w:tcMar>
              <w:bottom w:w="0" w:type="dxa"/>
            </w:tcMar>
            <w:vAlign w:val="center"/>
          </w:tcPr>
          <w:p>
            <w:pPr>
              <w:pStyle w:val="TableContents"/>
              <w:bidi w:val="0"/>
              <w:spacing w:before="0" w:after="283"/>
              <w:jc w:val="left"/>
              <w:rPr/>
            </w:pPr>
            <w:r>
              <w:rPr/>
              <w:t>Jennifer Chaplin Tolkin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FFFFFF" w:val="clear"/>
            <w:tcMar>
              <w:bottom w:w="0" w:type="dxa"/>
            </w:tcMar>
            <w:vAlign w:val="center"/>
          </w:tcPr>
          <w:p>
            <w:pPr>
              <w:pStyle w:val="TableContents"/>
              <w:bidi w:val="0"/>
              <w:spacing w:before="0" w:after="283"/>
              <w:jc w:val="left"/>
              <w:rPr/>
            </w:pPr>
            <w:r>
              <w:rPr/>
              <w:t>Matthew Hurn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226,769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CCEEFF" w:val="clear"/>
            <w:tcMar>
              <w:bottom w:w="0" w:type="dxa"/>
            </w:tcMar>
            <w:vAlign w:val="center"/>
          </w:tcPr>
          <w:p>
            <w:pPr>
              <w:pStyle w:val="TableContents"/>
              <w:bidi w:val="0"/>
              <w:spacing w:before="0" w:after="283"/>
              <w:jc w:val="left"/>
              <w:rPr/>
            </w:pPr>
            <w:r>
              <w:rPr/>
              <w:t>Peter McDonough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FFFFFF" w:val="clear"/>
            <w:tcMar>
              <w:bottom w:w="0" w:type="dxa"/>
            </w:tcMar>
            <w:vAlign w:val="center"/>
          </w:tcPr>
          <w:p>
            <w:pPr>
              <w:pStyle w:val="TableContents"/>
              <w:bidi w:val="0"/>
              <w:spacing w:before="0" w:after="283"/>
              <w:jc w:val="left"/>
              <w:rPr/>
            </w:pPr>
            <w:r>
              <w:rPr/>
              <w:t>Andrea Mollica</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10,339,428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32.7</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CCEEFF" w:val="clear"/>
            <w:tcMar>
              <w:bottom w:w="0" w:type="dxa"/>
            </w:tcMar>
            <w:vAlign w:val="center"/>
          </w:tcPr>
          <w:p>
            <w:pPr>
              <w:pStyle w:val="TableContents"/>
              <w:bidi w:val="0"/>
              <w:spacing w:before="0" w:after="283"/>
              <w:jc w:val="left"/>
              <w:rPr/>
            </w:pPr>
            <w:r>
              <w:rPr/>
              <w:t>Kevin Shannon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FFFFFF" w:val="clear"/>
            <w:tcMar>
              <w:bottom w:w="0" w:type="dxa"/>
            </w:tcMar>
            <w:vAlign w:val="center"/>
          </w:tcPr>
          <w:p>
            <w:pPr>
              <w:pStyle w:val="TableContents"/>
              <w:bidi w:val="0"/>
              <w:spacing w:before="0" w:after="283"/>
              <w:jc w:val="left"/>
              <w:rPr/>
            </w:pPr>
            <w:r>
              <w:rPr/>
              <w:t>David Tuerff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CCEEFF" w:val="clear"/>
            <w:tcMar>
              <w:bottom w:w="0" w:type="dxa"/>
            </w:tcMar>
            <w:vAlign w:val="center"/>
          </w:tcPr>
          <w:p>
            <w:pPr>
              <w:pStyle w:val="TableContents"/>
              <w:bidi w:val="0"/>
              <w:spacing w:before="0" w:after="283"/>
              <w:jc w:val="left"/>
              <w:rPr/>
            </w:pPr>
            <w:r>
              <w:rPr/>
              <w:t>All PubCo directors and executive officers as a group (8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12,528,715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39.6</w:t>
            </w:r>
          </w:p>
        </w:tc>
        <w:tc>
          <w:tcPr>
            <w:tcW w:w="232" w:type="dxa"/>
            <w:tcBorders/>
            <w:shd w:fill="CCEEFF" w:val="clear"/>
            <w:tcMar>
              <w:bottom w:w="0" w:type="dxa"/>
            </w:tcMar>
            <w:vAlign w:val="center"/>
          </w:tcPr>
          <w:p>
            <w:pPr>
              <w:pStyle w:val="TableContents"/>
              <w:bidi w:val="0"/>
              <w:spacing w:before="0" w:after="283"/>
              <w:ind w:left="0" w:right="0" w:hanging="238"/>
              <w:jc w:val="left"/>
              <w:rPr/>
            </w:pPr>
            <w:r>
              <w:rPr/>
              <w:t>%</w:t>
            </w:r>
          </w:p>
        </w:tc>
      </w:tr>
      <w:tr>
        <w:trPr/>
        <w:tc>
          <w:tcPr>
            <w:tcW w:w="5368" w:type="dxa"/>
            <w:tcBorders/>
            <w:shd w:fill="FFFFFF" w:val="clear"/>
            <w:tcMar>
              <w:bottom w:w="0" w:type="dxa"/>
            </w:tcMar>
            <w:vAlign w:val="center"/>
          </w:tcPr>
          <w:p>
            <w:pPr>
              <w:pStyle w:val="TableContents"/>
              <w:bidi w:val="0"/>
              <w:spacing w:before="0" w:after="283"/>
              <w:jc w:val="left"/>
              <w:rPr>
                <w:i/>
              </w:rPr>
            </w:pPr>
            <w:r>
              <w:rPr>
                <w:i/>
              </w:rPr>
              <w:t>Other 5%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5368" w:type="dxa"/>
            <w:tcBorders/>
            <w:shd w:fill="CCEEFF" w:val="clear"/>
            <w:tcMar>
              <w:bottom w:w="0" w:type="dxa"/>
            </w:tcMar>
            <w:vAlign w:val="center"/>
          </w:tcPr>
          <w:p>
            <w:pPr>
              <w:pStyle w:val="TableContents"/>
              <w:bidi w:val="0"/>
              <w:spacing w:before="0" w:after="283"/>
              <w:jc w:val="left"/>
              <w:rPr/>
            </w:pPr>
            <w:r>
              <w:rPr/>
              <w:t>TAU Capital Holding Limited</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10,280,291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31.4</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FFFFFF" w:val="clear"/>
            <w:tcMar>
              <w:bottom w:w="0" w:type="dxa"/>
            </w:tcMar>
            <w:vAlign w:val="center"/>
          </w:tcPr>
          <w:p>
            <w:pPr>
              <w:pStyle w:val="TableContents"/>
              <w:bidi w:val="0"/>
              <w:spacing w:before="0" w:after="283"/>
              <w:jc w:val="left"/>
              <w:rPr/>
            </w:pPr>
            <w:r>
              <w:rPr/>
              <w:t>Inflection Point Holdings III LLC</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8,983,333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28.4</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CCEEFF" w:val="clear"/>
            <w:tcMar>
              <w:bottom w:w="0" w:type="dxa"/>
            </w:tcMar>
            <w:vAlign w:val="center"/>
          </w:tcPr>
          <w:p>
            <w:pPr>
              <w:pStyle w:val="TableContents"/>
              <w:bidi w:val="0"/>
              <w:spacing w:before="0" w:after="283"/>
              <w:jc w:val="left"/>
              <w:rPr/>
            </w:pPr>
            <w:r>
              <w:rPr/>
              <w:t>Inflection Point Fund I, LP</w:t>
            </w: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6,408,192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16.8</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FFFFFF" w:val="clear"/>
            <w:tcMar>
              <w:bottom w:w="0" w:type="dxa"/>
            </w:tcMar>
            <w:vAlign w:val="center"/>
          </w:tcPr>
          <w:p>
            <w:pPr>
              <w:pStyle w:val="TableContents"/>
              <w:bidi w:val="0"/>
              <w:spacing w:before="0" w:after="283"/>
              <w:jc w:val="left"/>
              <w:rPr/>
            </w:pPr>
            <w:r>
              <w:rPr/>
              <w:t>Alyeska Master Fund L.P.</w:t>
            </w:r>
            <w:r>
              <w:rPr>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2101" w:type="dxa"/>
            <w:tcBorders/>
            <w:shd w:fill="FFFFFF" w:val="clear"/>
            <w:tcMar>
              <w:bottom w:w="0" w:type="dxa"/>
            </w:tcMar>
            <w:vAlign w:val="center"/>
          </w:tcPr>
          <w:p>
            <w:pPr>
              <w:pStyle w:val="TableContents"/>
              <w:bidi w:val="0"/>
              <w:spacing w:before="0" w:after="283"/>
              <w:jc w:val="right"/>
              <w:rPr/>
            </w:pPr>
            <w:r>
              <w:rPr/>
              <w:t>5,882,354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947" w:type="dxa"/>
            <w:tcBorders/>
            <w:shd w:fill="FFFFFF" w:val="clear"/>
            <w:tcMar>
              <w:bottom w:w="0" w:type="dxa"/>
            </w:tcMar>
            <w:vAlign w:val="center"/>
          </w:tcPr>
          <w:p>
            <w:pPr>
              <w:pStyle w:val="TableContents"/>
              <w:bidi w:val="0"/>
              <w:spacing w:before="0" w:after="283"/>
              <w:jc w:val="right"/>
              <w:rPr/>
            </w:pPr>
            <w:r>
              <w:rPr/>
              <w:t>4.9</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w:t>
            </w:r>
          </w:p>
        </w:tc>
      </w:tr>
      <w:tr>
        <w:trPr/>
        <w:tc>
          <w:tcPr>
            <w:tcW w:w="5368" w:type="dxa"/>
            <w:tcBorders/>
            <w:shd w:fill="CCEEFF" w:val="clear"/>
            <w:tcMar>
              <w:bottom w:w="0" w:type="dxa"/>
            </w:tcMar>
            <w:vAlign w:val="center"/>
          </w:tcPr>
          <w:p>
            <w:pPr>
              <w:pStyle w:val="TableContents"/>
              <w:bidi w:val="0"/>
              <w:spacing w:before="0" w:after="283"/>
              <w:jc w:val="left"/>
              <w:rPr/>
            </w:pPr>
            <w:r>
              <w:rPr/>
              <w:t>The Bert E. Miller 2023 Family Trust</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2101" w:type="dxa"/>
            <w:tcBorders/>
            <w:shd w:fill="CCEEFF" w:val="clear"/>
            <w:tcMar>
              <w:bottom w:w="0" w:type="dxa"/>
            </w:tcMar>
            <w:vAlign w:val="center"/>
          </w:tcPr>
          <w:p>
            <w:pPr>
              <w:pStyle w:val="TableContents"/>
              <w:bidi w:val="0"/>
              <w:spacing w:before="0" w:after="283"/>
              <w:jc w:val="right"/>
              <w:rPr/>
            </w:pPr>
            <w:r>
              <w:rPr/>
              <w:t>2,058,413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947" w:type="dxa"/>
            <w:tcBorders/>
            <w:shd w:fill="CCEEFF" w:val="clear"/>
            <w:tcMar>
              <w:bottom w:w="0" w:type="dxa"/>
            </w:tcMar>
            <w:vAlign w:val="center"/>
          </w:tcPr>
          <w:p>
            <w:pPr>
              <w:pStyle w:val="TableContents"/>
              <w:bidi w:val="0"/>
              <w:spacing w:before="0" w:after="283"/>
              <w:jc w:val="right"/>
              <w:rPr/>
            </w:pPr>
            <w:r>
              <w:rPr/>
              <w:t>6.5</w:t>
            </w:r>
          </w:p>
        </w:tc>
        <w:tc>
          <w:tcPr>
            <w:tcW w:w="23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Indicates beneficial ownership of less than one percent (1%) of the total outstanding PubCo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283"/>
              <w:jc w:val="both"/>
              <w:rPr/>
            </w:pPr>
            <w:r>
              <w:rPr/>
              <w:t>Consists of 1,113,729 held by Ms. Mollica directly and 9,225,699 shares held of record by TAU Capital Holding Limited (</w:t>
            </w:r>
            <w:r>
              <w:rPr>
                <w:i/>
              </w:rPr>
              <w:t>see</w:t>
            </w:r>
            <w:r>
              <w:rPr/>
              <w:t xml:space="preserve"> footnote 2, below).</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both"/>
              <w:rPr/>
            </w:pPr>
            <w:r>
              <w:rPr/>
              <w:t>Consists of (i) 9,225,699 PubCo Ordinary Shares held by Tau Capital Holding Limited (f/k/a TAU Capital Holding — Sole Proprietorship LLC), a limited liability company organized and existing under the laws of the Abu Dhabi Global Market (“Tau Capital”), (ii) 527,296 PubCo Ordinary Shares issuable upon conversion of 6,327.542 PubCo Series A Preferred Shares held by Tau Capital, at the initial conversion price and (iii) 527,296 PubCo Ordinary Shares issuable upon exercise of a PubCo Series A Investor Warrant held by Tau Capital, at the initial exercise price. Mr. Andrea Mollica, a director of PubCo, as one of the two General Partners of Tau Capital, has shared voting and shared investment control over the PubCo Ordinary Shares held by Tau Capital and may be deemed the beneficial owner of such shares. Mr. Mollica, however, disclaims any beneficial ownership of such shares other than to the extent of any pecuniary interest he may have therein, directly or indirectly. The principal business address for Tau Capital is Al Sila Tower, Level 25, Unit 36, ADGM, Abu Dhabi, UAE.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283"/>
              <w:jc w:val="both"/>
              <w:rPr/>
            </w:pPr>
            <w:r>
              <w:rPr/>
              <w:t>IPAM is the manager of the Sponsor. Michael Blitzer, Inflection Point’s former Chairman and Chief Executive Officer, is the Chief Investment Officer of IPAM and the managing member of Inflection Point GP I LLC. Mr. Blitzer controls the Sponsor, IPAM, and Inflection Point GP I LLC, including the exercise of voting and investment discretion over securities held or to be held by the Sponsor. Each of IPAM, Inflection Point GP I LLC and Mr. Blitzer disclaim any beneficial ownership of the securities held by the Sponsor other than to the extent of any pecuniary interest he or it may have therein, directly or indirectly.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283"/>
              <w:jc w:val="both"/>
              <w:rPr/>
            </w:pPr>
            <w:r>
              <w:rPr/>
              <w:t>Consists of (i) 2,204,096 PubCo Ordinary Shares issuable upon conversion of 26,449.127 PubCo Series A Preferred Shares held by IPF, at the initial Conversion Price and (ii) 4,204,096 PubCo Ordinary Shares issuable upon exercise of PubCo Series A Investor Warrant held by IPF, at the initial exercise price. Voting and dispositive power over securities beneficially owned by IPF are vested in an investment committee of three members, including Michael Blitzer, former Chairman and Chief Executive Officer of Inflection Point, Kevin Shannon, former Chief Operating Officer of Inflection Point, and a third individual who does not have, and has not had during the past three years, any relationship with Inflection Point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IPF is 1680 Michigan Ave, Suite 700 #1016, Miami Beach, FL 33139.</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283"/>
              <w:jc w:val="both"/>
              <w:rPr/>
            </w:pPr>
            <w:r>
              <w:rPr/>
              <w:t>Consists of (i) 2,941,177 PubCo Ordinary Shares issuable upon conversion of 35,294.118 PubCo Series A Preferred Shares, held by Alyeska Master Fund, L.P. (“Alyeska”) and (ii) 2,941,177 PubCo Ordinary Shares issuable upon exercise of a PubCo Series A Investor Warrant held by Alyeska, at the initial exercise price. Following closing of the Business Combination, Alyeska elected to be subject to a beneficial ownership limitation of 4.9% of PubCo Ordinary Shares in connection with the exercise of any PubCo Series A Preferred Shares and PubCo Series A Investor Warrants.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283"/>
              <w:jc w:val="both"/>
              <w:rPr/>
            </w:pPr>
            <w:r>
              <w:rPr/>
              <w:t>Consists of 2,058,413 PubCo Ordinary Shares held by The Bert E. Miller 2023 Family Trust (the “Miller Family Trust”). Mr. Michael J. Bitar is the trustee of the Miller Family Trust and the Miller Family Trust is the sole beneficial owner of such shares. The address for the Bert E. Miller 2023 Family Trust is 2124 Milano Court, Palm Beach Gardens, FL 33418 and Laura A. Miller is the beneficiary of the Miller Family Trust.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related party transactions is included in the Proxy Statement/Prospectus under the section titled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Air Water Relationships and Related Party Transactions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Interests of Experts and Counsel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Item 8. Financial Information</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Consolidated Statements and Other Financial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of this Report for consolidated financial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direct subsidiary, Air Water OpCo and its subsidiaries. Information regarding legal proceedings involving PubCo, including Air Water Holdings, is included in the Proxy Statement/Prospectus under the section titled “</w:t>
      </w:r>
      <w:r>
        <w:rPr>
          <w:rFonts w:ascii="Times New Roman;Times;Serif" w:hAnsi="Times New Roman;Times;Serif"/>
          <w:b w:val="false"/>
          <w:i/>
          <w:caps w:val="false"/>
          <w:smallCaps w:val="false"/>
          <w:sz w:val="20"/>
        </w:rPr>
        <w:t>Information About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and is incorporated herein by reference. Information regarding PubCo’s dividend policy is included in the Proxy Statement/Prospectus under the section titled “</w:t>
      </w:r>
      <w:r>
        <w:rPr>
          <w:rFonts w:ascii="Times New Roman;Times;Serif" w:hAnsi="Times New Roman;Times;Serif"/>
          <w:b w:val="false"/>
          <w:i/>
          <w:caps w:val="false"/>
          <w:smallCaps w:val="false"/>
          <w:sz w:val="20"/>
        </w:rPr>
        <w:t>Price Range of Securities and Dividends—PubCo— Dividend Policy</w:t>
      </w:r>
      <w:r>
        <w:rPr>
          <w:rFonts w:ascii="Times New Roman;Times;Serif" w:hAnsi="Times New Roman;Times;Serif"/>
          <w:b w:val="false"/>
          <w:i w:val="false"/>
          <w:caps w:val="false"/>
          <w:smallCaps w:val="false"/>
          <w:sz w:val="20"/>
        </w:rPr>
        <w:t>”.</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Item 9. The Offer and Listing</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Offer and Listing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Nasdaq Listing of PubCo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PubCo’s Ordinary Shares are listed on Nasdaq under the symbol “WATR.” Holders of PubCo Ordinary Shares should obtain current market quotations for their securities. There can be no assurance that the PubCo Ordinary Shares will remain listed on Nasdaq. If PubCo fails to comply with the Nasdaq listing requirements, the PubCo Ordinary Shares could be delisted from Nasdaq. A delisting of the PubCo Ordinary Shares will likely affect their liquidity and could inhibit or restrict the ability of PubCo to raise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lock-up restrictions applicable to certain PubCo Ordinary Shares held by the Sponsor, Inflection Point Insiders and certain legacy Air Water Holdings Shareholders is included in the Proxy Statement/Prospectus under the sections titled “</w:t>
      </w:r>
      <w:r>
        <w:rPr>
          <w:rFonts w:ascii="Times New Roman;Times;Serif" w:hAnsi="Times New Roman;Times;Serif"/>
          <w:b w:val="false"/>
          <w:i/>
          <w:caps w:val="false"/>
          <w:smallCaps w:val="false"/>
          <w:sz w:val="20"/>
        </w:rPr>
        <w:t>Proposal No. 1—The Business Combination Proposal</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Lock-Up Agreements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Proposal No. 1—The Business Combination Proposal</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Plan of Distribution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PubCo’s Ordinary Shares are listed on Nasdaq under the symbol “WATR.” There can be no assurance that the PubCo Ordinary Shares will remain listed on Nasdaq. If PubCo fails to comply with the Nasdaq listing requirements, the PubCo Ordinary Shares could be delisted from Nasdaq. A delisting of the PubCo Ordinary Shares will likely affect their liquidity and could inhibit or restrict the ability of PubCo to raise additional financing.</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Selling Shareholders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Item 10. Additional Information</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US$50,000 divided into 499,870,000 PubCo Ordinary Shares of US$0.0001 par value each and 130,000 PubCo Series A Preferred Shares of US$0.0001 par value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2026, subsequent to the closing of the Transactions, there were 31,639,454 PubCo Ordinary Shares and 117,037.283 PubCo Series A Preferred Shares outstanding. Additionally, there were PubCo Series A Investor Warrants outstanding and exercisable for up to 12,121,349 PubCo Ordinary Shares, each warrant entitles the holder to purchase one PubCo Ordinary Share at an initial exercise price of $12.00 per PubCo Ordinary Share, subject to Equitable Adjustment and the same anti-dilution adjustments as the PubCo Series A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our share capital is included in the Proxy Statement/Prospectus under the section titled “</w:t>
      </w:r>
      <w:r>
        <w:rPr>
          <w:rFonts w:ascii="Times New Roman;Times;Serif" w:hAnsi="Times New Roman;Times;Serif"/>
          <w:b w:val="false"/>
          <w:i/>
          <w:caps w:val="false"/>
          <w:smallCaps w:val="false"/>
          <w:sz w:val="20"/>
        </w:rPr>
        <w:t>Description of PubCo Securities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Memorandum of Association and Articles of Association</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material provisions of the Memorandum of Association and Articles of Association of PubCo is included in the Proxy Statement/Prospectus under the section titled “</w:t>
      </w:r>
      <w:r>
        <w:rPr>
          <w:rFonts w:ascii="Times New Roman;Times;Serif" w:hAnsi="Times New Roman;Times;Serif"/>
          <w:b w:val="false"/>
          <w:i/>
          <w:caps w:val="false"/>
          <w:smallCaps w:val="false"/>
          <w:sz w:val="20"/>
        </w:rPr>
        <w:t>Description of PubCo Securities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Material Contracts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material contracts is included in the Proxy Statement/Prospectus under the sections titled “</w:t>
      </w:r>
      <w:r>
        <w:rPr>
          <w:rFonts w:ascii="Times New Roman;Times;Serif" w:hAnsi="Times New Roman;Times;Serif"/>
          <w:b w:val="false"/>
          <w:i/>
          <w:caps w:val="false"/>
          <w:smallCaps w:val="false"/>
          <w:sz w:val="20"/>
        </w:rPr>
        <w:t>Proposal No. 1—The Business Combination Proposal—The Business Combination Agreement</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exchange control legislation under Cayman Islands law, and accordingly, there are no exchange control regulations imposed under Cayman Islands law.</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U.S. tax consequences of owning and disposing of PubCo Ordinary Shares, PubCo Series A Preferred Shares and PubCo Series A Investor Warrants is included in the Proxy Statement/Prospectus under the section titled “</w:t>
      </w:r>
      <w:r>
        <w:rPr>
          <w:rFonts w:ascii="Times New Roman;Times;Serif" w:hAnsi="Times New Roman;Times;Serif"/>
          <w:b w:val="false"/>
          <w:i/>
          <w:caps w:val="false"/>
          <w:smallCaps w:val="false"/>
          <w:sz w:val="20"/>
        </w:rPr>
        <w:t>Certain Tax Considerations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Dividends and Paying Agents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not paid any cash dividends on its equity securities to date. The payment of cash dividends in the future will be dependent upon the revenues and earnings, if any, capital requirements and general financial condition of PubCo. The payment of any cash dividends will be within the discretion of the PubCo Board. It is currently not expected that the PubCo Board will declare any dividends in the foreseeable future. Further, the ability of PubCo to declare dividends may be limited by the terms of financing or other agreements entered into by PubCo or its subsidiaries from time to time.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 Statement by Experts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Air Water Ventures Holdings Limited and its subsidiaries as of December 31, 2025 and 2024, and for each of the years in the two-year period ended December 31, 2025, and the related notes, have been incorporated by reference herein in reliance upon the report of Grant Thornton Audit and Accounting Limited (Dubai Branch),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Air Water Ventures Limited as of December 31, 2025, and for the period from August 8, 2025 (inception) to December 31, 2025 and the related notes have been incorporated by reference herein in reliance upon the report of Grant Thornton Audit and Accounting Limited (Dubai Branch),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Inflection Point as of December 31, 2025 and 2024 and for the year ended December 31, 2025 and for the period from January 31, 2024 (inception) through December 31, 2024, and the related notes, have been incorporated by reference herein have been audited by UHY LLP, an independent registered public accounting firm, as set forth in their report thereon, and are incorporated by reference herein in reliance on such report given on the authority of such firm as an expert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Documents on Display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concerning PubCo referred to in this Report may be inspected at the principal executive offices of PubCo at 4341 W. 108th St., Suite 1, Hialeah, Florida 33018.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subject to certain of the informational filing requirements of the Exchange Act. PubCo will be a foreign private issuer within the meaning of the rules under the Exchange Act and, as such, PubCo is exempt from certain provisions of the securities rules and regulations in the United States that are applicable to U.S. domestic public companies. For example, PubCo will not be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PubCo is not required to comply with Regulation FD, which imposes restrictions on the selective disclosure of material information to shareholders. In addition, PubCo’s officers and directors will be exempt from the short-swing profit recovery provisions of Section 16(b) of the Exchange Act and the short sale prohibition under Section 16(c) of the Exchange Act. Additionally, PubCo’s beneficial owners of 10% or more of a class of PubCo’s equity securities registered under Section 12 of the Exchange Act will be exempt from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PubCo is required to file with the SEC an Annual Report on Form 20-F containing financial statements audited by an independent accounting firm. The SEC also maintains a website at http://www.sec.gov that contains reports and other information that PubCo files with or furnishes electronically to the SEC.</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Subsidiary Information </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Annual Report to Security Holders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Item 11. Quantitative and Qualitative Disclosures About Market Risk</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direct subsidiary, Air Water OpCo and its subsidiaries. Information regarding quantitative and qualitative disclosure about market risk is included in the Proxy Statement/Prospectus under the section titled “</w:t>
      </w:r>
      <w:r>
        <w:rPr>
          <w:rFonts w:ascii="Times New Roman;Times;Serif" w:hAnsi="Times New Roman;Times;Serif"/>
          <w:b w:val="false"/>
          <w:i/>
          <w:caps w:val="false"/>
          <w:smallCaps w:val="false"/>
          <w:sz w:val="20"/>
        </w:rPr>
        <w:t>The Company’s Management’s Discussion and Analysis of Financial Condition and Results of Operations—Quantitative and Qualitative Disclosures about Financial Risks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Item 12. Description of Securities Other Than Equity Securities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PubCo’s Series A Investor Warrants is set forth in the Proxy Statement/Prospectus under the section titled “</w:t>
      </w:r>
      <w:r>
        <w:rPr>
          <w:rFonts w:ascii="Times New Roman;Times;Serif" w:hAnsi="Times New Roman;Times;Serif"/>
          <w:b w:val="false"/>
          <w:i/>
          <w:caps w:val="false"/>
          <w:smallCaps w:val="false"/>
          <w:sz w:val="20"/>
        </w:rPr>
        <w:t>Description of PubCo Securities—PubCo Series A Investor Warrants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Item 17.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21" w:name="a_020"/>
      <w:bookmarkEnd w:id="21"/>
      <w:r>
        <w:rPr>
          <w:rFonts w:ascii="Times New Roman;Times;Serif" w:hAnsi="Times New Roman;Times;Serif"/>
          <w:b/>
          <w:i w:val="false"/>
          <w:caps/>
          <w:sz w:val="20"/>
        </w:rPr>
        <w:t>Item 18.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Inflection Point are incorporated by reference to pages F-2–F-26 in the Form F-4. The unaudited interim financial statements of Inflection Point as of and for the three months ended March 31, 2026 are incorporated by reference to pages F-27–F-51 in the Form F-4. The unaudited interim financial statements of Inflection Point as of and for the six months ended June 30, 2026 are incorporated by reference to Form 10-Q of Inflection Point filed with the SEC on August 13,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Air Water Ventures Holdings Limited are incorporated by reference to pages F-53–F-89 in the Form F-4.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Air Water Ventures Limited are incorporated by reference to pages F-90–F-99 in the Form F-4.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2" w:name="a_021"/>
      <w:bookmarkEnd w:id="22"/>
      <w:r>
        <w:rPr>
          <w:rFonts w:ascii="Times New Roman;Times;Serif" w:hAnsi="Times New Roman;Times;Serif"/>
          <w:b/>
          <w:i w:val="false"/>
          <w:caps/>
          <w:sz w:val="20"/>
        </w:rPr>
        <w:t>Item 19. Exhibits</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28" w:type="dxa"/>
          <w:right w:w="0" w:type="dxa"/>
        </w:tblCellMar>
      </w:tblPr>
      <w:tblGrid>
        <w:gridCol w:w="890"/>
        <w:gridCol w:w="60"/>
        <w:gridCol w:w="5767"/>
        <w:gridCol w:w="60"/>
        <w:gridCol w:w="590"/>
        <w:gridCol w:w="60"/>
        <w:gridCol w:w="946"/>
        <w:gridCol w:w="60"/>
        <w:gridCol w:w="838"/>
        <w:gridCol w:w="60"/>
        <w:gridCol w:w="874"/>
      </w:tblGrid>
      <w:tr>
        <w:trPr/>
        <w:tc>
          <w:tcPr>
            <w:tcW w:w="890" w:type="dxa"/>
            <w:tcBorders>
              <w:bottom w:val="single" w:sz="12"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5767" w:type="dxa"/>
            <w:tcBorders>
              <w:bottom w:val="single" w:sz="12"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3428" w:type="dxa"/>
            <w:gridSpan w:val="7"/>
            <w:tcBorders>
              <w:bottom w:val="single" w:sz="12" w:space="0" w:color="000000"/>
            </w:tcBorders>
            <w:vAlign w:val="center"/>
          </w:tcPr>
          <w:p>
            <w:pPr>
              <w:pStyle w:val="TableContents"/>
              <w:bidi w:val="0"/>
              <w:spacing w:before="0" w:after="283"/>
              <w:jc w:val="center"/>
              <w:rPr>
                <w:b/>
              </w:rPr>
            </w:pPr>
            <w:r>
              <w:rPr>
                <w:b/>
              </w:rPr>
              <w:t>Incorporation by Reference</w:t>
            </w:r>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7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12" w:space="0" w:color="000000"/>
            </w:tcBorders>
            <w:vAlign w:val="center"/>
          </w:tcPr>
          <w:p>
            <w:pPr>
              <w:pStyle w:val="TableContents"/>
              <w:bidi w:val="0"/>
              <w:spacing w:before="0" w:after="283"/>
              <w:jc w:val="center"/>
              <w:rPr>
                <w:b/>
              </w:rPr>
            </w:pPr>
            <w:r>
              <w:rPr>
                <w:b/>
              </w:rPr>
              <w:t>Form</w:t>
            </w:r>
          </w:p>
        </w:tc>
        <w:tc>
          <w:tcPr>
            <w:tcW w:w="60" w:type="dxa"/>
            <w:tcBorders/>
            <w:tcMar>
              <w:bottom w:w="0" w:type="dxa"/>
            </w:tcMar>
            <w:vAlign w:val="center"/>
          </w:tcPr>
          <w:p>
            <w:pPr>
              <w:pStyle w:val="TableContents"/>
              <w:bidi w:val="0"/>
              <w:spacing w:before="0" w:after="283"/>
              <w:jc w:val="center"/>
              <w:rPr/>
            </w:pPr>
            <w:r>
              <w:rPr/>
              <w:t> </w:t>
            </w:r>
          </w:p>
        </w:tc>
        <w:tc>
          <w:tcPr>
            <w:tcW w:w="946" w:type="dxa"/>
            <w:tcBorders>
              <w:bottom w:val="single" w:sz="12" w:space="0" w:color="000000"/>
            </w:tcBorders>
            <w:vAlign w:val="center"/>
          </w:tcPr>
          <w:p>
            <w:pPr>
              <w:pStyle w:val="TableContents"/>
              <w:bidi w:val="0"/>
              <w:spacing w:before="0" w:after="283"/>
              <w:jc w:val="center"/>
              <w:rPr>
                <w:b/>
              </w:rPr>
            </w:pPr>
            <w:r>
              <w:rPr>
                <w:b/>
              </w:rPr>
              <w:t>File Number</w:t>
            </w:r>
          </w:p>
        </w:tc>
        <w:tc>
          <w:tcPr>
            <w:tcW w:w="60" w:type="dxa"/>
            <w:tcBorders/>
            <w:tcMar>
              <w:bottom w:w="0" w:type="dxa"/>
            </w:tcMar>
            <w:vAlign w:val="center"/>
          </w:tcPr>
          <w:p>
            <w:pPr>
              <w:pStyle w:val="TableContents"/>
              <w:bidi w:val="0"/>
              <w:spacing w:before="0" w:after="283"/>
              <w:jc w:val="center"/>
              <w:rPr/>
            </w:pPr>
            <w:r>
              <w:rPr/>
              <w:t> </w:t>
            </w:r>
          </w:p>
        </w:tc>
        <w:tc>
          <w:tcPr>
            <w:tcW w:w="838" w:type="dxa"/>
            <w:tcBorders>
              <w:bottom w:val="single" w:sz="12"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center"/>
              <w:rPr/>
            </w:pPr>
            <w:r>
              <w:rPr/>
              <w:t> </w:t>
            </w:r>
          </w:p>
        </w:tc>
        <w:tc>
          <w:tcPr>
            <w:tcW w:w="874" w:type="dxa"/>
            <w:tcBorders>
              <w:bottom w:val="single" w:sz="12" w:space="0" w:color="000000"/>
            </w:tcBorders>
            <w:vAlign w:val="center"/>
          </w:tcPr>
          <w:p>
            <w:pPr>
              <w:pStyle w:val="TableContents"/>
              <w:bidi w:val="0"/>
              <w:spacing w:before="0" w:after="283"/>
              <w:jc w:val="center"/>
              <w:rPr>
                <w:b/>
              </w:rPr>
            </w:pPr>
            <w:r>
              <w:rPr>
                <w:b/>
              </w:rPr>
              <w:t>Filing Date</w:t>
            </w:r>
          </w:p>
        </w:tc>
      </w:tr>
      <w:tr>
        <w:trPr/>
        <w:tc>
          <w:tcPr>
            <w:tcW w:w="890"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both"/>
              <w:rPr/>
            </w:pPr>
            <w:hyperlink w:anchor="ea030279801ex1-1.htm">
              <w:r>
                <w:rPr>
                  <w:rStyle w:val="InternetLink"/>
                </w:rPr>
                <w:t>Amended and Restated Memorandum and Articles of Association of Air Water Ventures Limited.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shd w:fill="FFFFFF" w:val="clear"/>
            <w:tcMar>
              <w:bottom w:w="0" w:type="dxa"/>
            </w:tcMar>
            <w:vAlign w:val="center"/>
          </w:tcPr>
          <w:p>
            <w:pPr>
              <w:pStyle w:val="TableContents"/>
              <w:bidi w:val="0"/>
              <w:spacing w:before="0" w:after="283"/>
              <w:jc w:val="left"/>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"http://www.sec.gov/Archives/edgar/data/2092314/000121390026075043/ea0266470-12.htm" \l "T301"</w:instrText>
            </w:r>
            <w:r>
              <w:rPr>
                <w:rStyle w:val="InternetLink"/>
              </w:rPr>
              <w:fldChar w:fldCharType="separate"/>
            </w:r>
            <w:r>
              <w:rPr>
                <w:rStyle w:val="InternetLink"/>
              </w:rPr>
              <w:t>Business Combination Agreement, dated as of August 25, 2025, by and among Inflection Point Acquisition Corp. III, Air Water Ventures Holdings Limited, IPCX Merger Sub Limited, and Air Water Ventures Limited (composite copy included as Annex A-1 of the F-4)</w:t>
            </w:r>
            <w:r>
              <w:rPr>
                <w:rStyle w:val="InternetLink"/>
              </w:rPr>
              <w:fldChar w:fldCharType="end"/>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F-4/A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333-294998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July 2, 2026</w:t>
            </w:r>
          </w:p>
        </w:tc>
      </w:tr>
      <w:tr>
        <w:trPr/>
        <w:tc>
          <w:tcPr>
            <w:tcW w:w="890"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"http://www.sec.gov/Archives/edgar/data/2092314/000121390026075043/ea0266470-12.htm" \l "T307"</w:instrText>
            </w:r>
            <w:r>
              <w:rPr>
                <w:rStyle w:val="InternetLink"/>
              </w:rPr>
              <w:fldChar w:fldCharType="separate"/>
            </w:r>
            <w:r>
              <w:rPr>
                <w:rStyle w:val="InternetLink"/>
              </w:rPr>
              <w:t>Amendment to Business Combination Agreement, dated as of December 31, 2025, by and among Inflection Point Acquisition Corp. III, Air Water Ventures Holdings Limited, IPCX Merger Sub Limited, and Air Water Ventures Limited (composite copy included as Annex A-2 of the F-4).</w:t>
            </w:r>
            <w:r>
              <w:rPr>
                <w:rStyle w:val="InternetLink"/>
              </w:rPr>
              <w:fldChar w:fldCharType="end"/>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F-4/A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333-294998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July 2, 2026</w:t>
            </w:r>
          </w:p>
        </w:tc>
      </w:tr>
      <w:tr>
        <w:trPr/>
        <w:tc>
          <w:tcPr>
            <w:tcW w:w="890" w:type="dxa"/>
            <w:tcBorders/>
            <w:shd w:fill="FFFFFF" w:val="clear"/>
            <w:tcMar>
              <w:bottom w:w="0" w:type="dxa"/>
            </w:tcMar>
            <w:vAlign w:val="center"/>
          </w:tcPr>
          <w:p>
            <w:pPr>
              <w:pStyle w:val="TableContents"/>
              <w:bidi w:val="0"/>
              <w:spacing w:before="0" w:after="283"/>
              <w:jc w:val="left"/>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"http://www.sec.gov/Archives/edgar/data/2092314/000121390026075043/ea0266470-12.htm" \l "T801"</w:instrText>
            </w:r>
            <w:r>
              <w:rPr>
                <w:rStyle w:val="InternetLink"/>
              </w:rPr>
              <w:fldChar w:fldCharType="separate"/>
            </w:r>
            <w:r>
              <w:rPr>
                <w:rStyle w:val="InternetLink"/>
              </w:rPr>
              <w:t>Second Amendment to Business Combination Agreement, dated as of June 5, 2026, by and among Inflection Point Acquisition Corp. III, Air Water Ventures Holdings Limited, IPCX Merger Sub Limited, and Air Water Ventures Limited (composite copy included as Annex A-3 of the F-4).</w:t>
            </w:r>
            <w:r>
              <w:rPr>
                <w:rStyle w:val="InternetLink"/>
              </w:rPr>
              <w:fldChar w:fldCharType="end"/>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F-4/A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333-294998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July 2, 2026</w:t>
            </w:r>
          </w:p>
        </w:tc>
      </w:tr>
      <w:tr>
        <w:trPr/>
        <w:tc>
          <w:tcPr>
            <w:tcW w:w="890" w:type="dxa"/>
            <w:tcBorders/>
            <w:shd w:fill="CCEEFF" w:val="clear"/>
            <w:tcMar>
              <w:bottom w:w="0" w:type="dxa"/>
            </w:tcMar>
            <w:vAlign w:val="center"/>
          </w:tcPr>
          <w:p>
            <w:pPr>
              <w:pStyle w:val="TableContents"/>
              <w:bidi w:val="0"/>
              <w:spacing w:before="0" w:after="283"/>
              <w:jc w:val="lef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both"/>
              <w:rPr/>
            </w:pPr>
            <w:hyperlink r:id="rId2">
              <w:r>
                <w:rPr>
                  <w:rStyle w:val="InternetLink"/>
                </w:rPr>
                <w:t>Company Support Agreement, dated as of August 25, 2025, by and among TAU Capital Holding Limited, Inflection Point Acquisition Corp. III, Air Water Ventures Holdings Limited and Air Water Ventures Limited.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001-42614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10.1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August 25, 2025</w:t>
            </w:r>
          </w:p>
        </w:tc>
      </w:tr>
      <w:tr>
        <w:trPr/>
        <w:tc>
          <w:tcPr>
            <w:tcW w:w="890" w:type="dxa"/>
            <w:tcBorders/>
            <w:shd w:fill="FFFFFF" w:val="clear"/>
            <w:tcMar>
              <w:bottom w:w="0" w:type="dxa"/>
            </w:tcMar>
            <w:vAlign w:val="center"/>
          </w:tcPr>
          <w:p>
            <w:pPr>
              <w:pStyle w:val="TableContents"/>
              <w:bidi w:val="0"/>
              <w:spacing w:before="0" w:after="283"/>
              <w:jc w:val="left"/>
              <w:rPr/>
            </w:pPr>
            <w:r>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both"/>
              <w:rPr/>
            </w:pPr>
            <w:hyperlink r:id="rId3">
              <w:r>
                <w:rPr>
                  <w:rStyle w:val="InternetLink"/>
                </w:rPr>
                <w:t>Sponsor Support Agreement, dated as of August 25, 2025, by and among Inflection Point Acquisition Corp. III, Air Water Ventures Holdings Limited and Air Water Ventures Limited.</w:t>
              </w:r>
            </w:hyperlink>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8-K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001-42614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10.2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August 25, 2025</w:t>
            </w:r>
          </w:p>
        </w:tc>
      </w:tr>
      <w:tr>
        <w:trPr/>
        <w:tc>
          <w:tcPr>
            <w:tcW w:w="890" w:type="dxa"/>
            <w:tcBorders/>
            <w:shd w:fill="CCEEFF" w:val="clear"/>
            <w:tcMar>
              <w:bottom w:w="0" w:type="dxa"/>
            </w:tcMar>
            <w:vAlign w:val="center"/>
          </w:tcPr>
          <w:p>
            <w:pPr>
              <w:pStyle w:val="TableContents"/>
              <w:bidi w:val="0"/>
              <w:spacing w:before="0" w:after="283"/>
              <w:jc w:val="lef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left"/>
              <w:rPr/>
            </w:pPr>
            <w:hyperlink w:anchor="ea030279801ex4-6.htm">
              <w:r>
                <w:rPr>
                  <w:rStyle w:val="InternetLink"/>
                </w:rPr>
                <w:t>Sponsor Lock-Up Agreement.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shd w:fill="FFFFFF" w:val="clear"/>
            <w:tcMar>
              <w:bottom w:w="0" w:type="dxa"/>
            </w:tcMar>
            <w:vAlign w:val="center"/>
          </w:tcPr>
          <w:p>
            <w:pPr>
              <w:pStyle w:val="TableContents"/>
              <w:bidi w:val="0"/>
              <w:spacing w:before="0" w:after="283"/>
              <w:jc w:val="left"/>
              <w:rPr/>
            </w:pPr>
            <w:r>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left"/>
              <w:rPr/>
            </w:pPr>
            <w:hyperlink r:id="rId4">
              <w:r>
                <w:rPr>
                  <w:rStyle w:val="InternetLink"/>
                </w:rPr>
                <w:t>Form of Air Water Holdings Lock-Up Agreement.</w:t>
              </w:r>
            </w:hyperlink>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8-K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001-42614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August 25, 2025</w:t>
            </w:r>
          </w:p>
        </w:tc>
      </w:tr>
      <w:tr>
        <w:trPr/>
        <w:tc>
          <w:tcPr>
            <w:tcW w:w="890" w:type="dxa"/>
            <w:tcBorders/>
            <w:shd w:fill="CCEEFF" w:val="clear"/>
            <w:tcMar>
              <w:bottom w:w="0" w:type="dxa"/>
            </w:tcMar>
            <w:vAlign w:val="center"/>
          </w:tcPr>
          <w:p>
            <w:pPr>
              <w:pStyle w:val="TableContents"/>
              <w:bidi w:val="0"/>
              <w:spacing w:before="0" w:after="283"/>
              <w:jc w:val="lef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both"/>
              <w:rPr/>
            </w:pPr>
            <w:hyperlink w:anchor="ea030279801ex4-8.htm">
              <w:r>
                <w:rPr>
                  <w:rStyle w:val="InternetLink"/>
                </w:rPr>
                <w:t>Registration Rights Agreement by and among Air Water Ventures Limited, Inflection Point Holdings III LLC, and certain holders named herein, dated August 14, 2026.</w:t>
              </w:r>
            </w:hyperlink>
            <w:r>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shd w:fill="FFFFFF" w:val="clear"/>
            <w:tcMar>
              <w:bottom w:w="0" w:type="dxa"/>
            </w:tcMar>
            <w:vAlign w:val="center"/>
          </w:tcPr>
          <w:p>
            <w:pPr>
              <w:pStyle w:val="TableContents"/>
              <w:bidi w:val="0"/>
              <w:spacing w:before="0" w:after="283"/>
              <w:jc w:val="left"/>
              <w:rPr/>
            </w:pPr>
            <w:r>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left"/>
              <w:rPr/>
            </w:pPr>
            <w:hyperlink r:id="rId5">
              <w:r>
                <w:rPr>
                  <w:rStyle w:val="InternetLink"/>
                </w:rPr>
                <w:t>Form of Closing PIPE Subscription Agreement.</w:t>
              </w:r>
            </w:hyperlink>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8-K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001-42614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10.7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August 25, 2025</w:t>
            </w:r>
          </w:p>
        </w:tc>
      </w:tr>
      <w:tr>
        <w:trPr/>
        <w:tc>
          <w:tcPr>
            <w:tcW w:w="890" w:type="dxa"/>
            <w:tcBorders/>
            <w:shd w:fill="CCEEFF" w:val="clear"/>
            <w:tcMar>
              <w:bottom w:w="0" w:type="dxa"/>
            </w:tcMar>
            <w:vAlign w:val="center"/>
          </w:tcPr>
          <w:p>
            <w:pPr>
              <w:pStyle w:val="TableContents"/>
              <w:bidi w:val="0"/>
              <w:spacing w:before="0" w:after="283"/>
              <w:jc w:val="left"/>
              <w:rPr/>
            </w:pPr>
            <w:r>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left"/>
              <w:rPr/>
            </w:pPr>
            <w:hyperlink r:id="rId6">
              <w:r>
                <w:rPr>
                  <w:rStyle w:val="InternetLink"/>
                </w:rPr>
                <w:t>Form of Air Water Ventures Equity Incentive Plan.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F-4/A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333-294998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10.8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June 26, 2026</w:t>
            </w:r>
          </w:p>
        </w:tc>
      </w:tr>
      <w:tr>
        <w:trPr/>
        <w:tc>
          <w:tcPr>
            <w:tcW w:w="890" w:type="dxa"/>
            <w:tcBorders/>
            <w:shd w:fill="FFFFFF" w:val="clear"/>
            <w:tcMar>
              <w:bottom w:w="0" w:type="dxa"/>
            </w:tcMar>
            <w:vAlign w:val="center"/>
          </w:tcPr>
          <w:p>
            <w:pPr>
              <w:pStyle w:val="TableContents"/>
              <w:bidi w:val="0"/>
              <w:spacing w:before="0" w:after="283"/>
              <w:jc w:val="left"/>
              <w:rPr/>
            </w:pPr>
            <w:r>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left"/>
              <w:rPr/>
            </w:pPr>
            <w:hyperlink r:id="rId7">
              <w:r>
                <w:rPr>
                  <w:rStyle w:val="InternetLink"/>
                </w:rPr>
                <w:t>Form of Air Water Ventures Limited Employee Share Purchase Plan.  </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F-4/A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333-294998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10.9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June 26, 2026</w:t>
            </w:r>
          </w:p>
        </w:tc>
      </w:tr>
      <w:tr>
        <w:trPr/>
        <w:tc>
          <w:tcPr>
            <w:tcW w:w="890" w:type="dxa"/>
            <w:tcBorders/>
            <w:shd w:fill="CCEEFF" w:val="clear"/>
            <w:tcMar>
              <w:bottom w:w="0" w:type="dxa"/>
            </w:tcMar>
            <w:vAlign w:val="center"/>
          </w:tcPr>
          <w:p>
            <w:pPr>
              <w:pStyle w:val="TableContents"/>
              <w:bidi w:val="0"/>
              <w:spacing w:before="0" w:after="283"/>
              <w:jc w:val="left"/>
              <w:rPr/>
            </w:pPr>
            <w:r>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left"/>
              <w:rPr/>
            </w:pPr>
            <w:hyperlink r:id="rId8">
              <w:r>
                <w:rPr>
                  <w:rStyle w:val="InternetLink"/>
                </w:rPr>
                <w:t>Form of Indemnification Agreement.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F-4/A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333-294998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10.10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June 26, 2026</w:t>
            </w:r>
          </w:p>
        </w:tc>
      </w:tr>
      <w:tr>
        <w:trPr/>
        <w:tc>
          <w:tcPr>
            <w:tcW w:w="890" w:type="dxa"/>
            <w:tcBorders/>
            <w:shd w:fill="FFFFFF" w:val="clear"/>
            <w:tcMar>
              <w:bottom w:w="0" w:type="dxa"/>
            </w:tcMar>
            <w:vAlign w:val="center"/>
          </w:tcPr>
          <w:p>
            <w:pPr>
              <w:pStyle w:val="TableContents"/>
              <w:bidi w:val="0"/>
              <w:spacing w:before="0" w:after="283"/>
              <w:jc w:val="left"/>
              <w:rPr/>
            </w:pPr>
            <w:r>
              <w:rPr/>
              <w:t>4.13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"http://www.sec.gov/Archives/edgar/data/2092314/000121390026075043/ea0266470-12.htm" \l "T305"</w:instrText>
            </w:r>
            <w:r>
              <w:rPr>
                <w:rStyle w:val="InternetLink"/>
              </w:rPr>
              <w:fldChar w:fldCharType="separate"/>
            </w:r>
            <w:r>
              <w:rPr>
                <w:rStyle w:val="InternetLink"/>
              </w:rPr>
              <w:t>Form of PubCo Series A Investor Warrant (included as Annex E of the F-4).</w:t>
            </w:r>
            <w:r>
              <w:rPr>
                <w:rStyle w:val="InternetLink"/>
              </w:rPr>
              <w:fldChar w:fldCharType="end"/>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F-4/A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333-294998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4.1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July 2, 2026</w:t>
            </w:r>
          </w:p>
        </w:tc>
      </w:tr>
      <w:tr>
        <w:trPr/>
        <w:tc>
          <w:tcPr>
            <w:tcW w:w="890" w:type="dxa"/>
            <w:tcBorders/>
            <w:shd w:fill="CCEEFF" w:val="clear"/>
            <w:tcMar>
              <w:bottom w:w="0" w:type="dxa"/>
            </w:tcMar>
            <w:vAlign w:val="center"/>
          </w:tcPr>
          <w:p>
            <w:pPr>
              <w:pStyle w:val="TableContents"/>
              <w:bidi w:val="0"/>
              <w:spacing w:before="0" w:after="283"/>
              <w:jc w:val="left"/>
              <w:rPr/>
            </w:pPr>
            <w:r>
              <w:rPr/>
              <w:t>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both"/>
              <w:rPr/>
            </w:pPr>
            <w:hyperlink r:id="rId9">
              <w:r>
                <w:rPr>
                  <w:rStyle w:val="InternetLink"/>
                </w:rPr>
                <w:t>Subsidiaries of PubCo.</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F-4/A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333-294998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21.1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June 26, 2026</w:t>
            </w:r>
          </w:p>
        </w:tc>
      </w:tr>
      <w:tr>
        <w:trPr/>
        <w:tc>
          <w:tcPr>
            <w:tcW w:w="890" w:type="dxa"/>
            <w:tcBorders/>
            <w:shd w:fill="FFFFFF" w:val="clear"/>
            <w:tcMar>
              <w:bottom w:w="0" w:type="dxa"/>
            </w:tcMar>
            <w:vAlign w:val="center"/>
          </w:tcPr>
          <w:p>
            <w:pPr>
              <w:pStyle w:val="TableContents"/>
              <w:bidi w:val="0"/>
              <w:spacing w:before="0" w:after="283"/>
              <w:jc w:val="left"/>
              <w:rPr/>
            </w:pPr>
            <w:r>
              <w:rPr/>
              <w:t>15.1*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both"/>
              <w:rPr/>
            </w:pPr>
            <w:hyperlink w:anchor="ea030279801ex15-1.htm">
              <w:r>
                <w:rPr>
                  <w:rStyle w:val="InternetLink"/>
                </w:rPr>
                <w:t>Consent of Grant Thornton, independent registered public accounting firm of Air Water Ventures Limited.</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7" w:type="dxa"/>
            <w:tcBorders/>
            <w:shd w:fill="CCEEFF" w:val="clear"/>
            <w:tcMar>
              <w:bottom w:w="0" w:type="dxa"/>
            </w:tcMar>
            <w:vAlign w:val="center"/>
          </w:tcPr>
          <w:p>
            <w:pPr>
              <w:pStyle w:val="TableContents"/>
              <w:bidi w:val="0"/>
              <w:spacing w:before="0" w:after="283"/>
              <w:jc w:val="both"/>
              <w:rPr/>
            </w:pPr>
            <w:hyperlink w:anchor="ea030279801ex15-2.htm">
              <w:r>
                <w:rPr>
                  <w:rStyle w:val="InternetLink"/>
                </w:rPr>
                <w:t>Consent of Grant Thornton, independent registered public accounting firm of Air Water Ventures Holdings Limited.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4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3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74"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shd w:fill="FFFFFF" w:val="clear"/>
            <w:tcMar>
              <w:bottom w:w="0" w:type="dxa"/>
            </w:tcMar>
            <w:vAlign w:val="center"/>
          </w:tcPr>
          <w:p>
            <w:pPr>
              <w:pStyle w:val="TableContents"/>
              <w:bidi w:val="0"/>
              <w:spacing w:before="0" w:after="283"/>
              <w:jc w:val="left"/>
              <w:rPr/>
            </w:pPr>
            <w:r>
              <w:rPr/>
              <w:t>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7" w:type="dxa"/>
            <w:tcBorders/>
            <w:shd w:fill="FFFFFF" w:val="clear"/>
            <w:tcMar>
              <w:bottom w:w="0" w:type="dxa"/>
            </w:tcMar>
            <w:vAlign w:val="center"/>
          </w:tcPr>
          <w:p>
            <w:pPr>
              <w:pStyle w:val="TableContents"/>
              <w:bidi w:val="0"/>
              <w:spacing w:before="0" w:after="283"/>
              <w:jc w:val="both"/>
              <w:rPr/>
            </w:pPr>
            <w:hyperlink w:anchor="ea030279801ex15-3.htm">
              <w:r>
                <w:rPr>
                  <w:rStyle w:val="InternetLink"/>
                </w:rPr>
                <w:t>Consent of UHY LLP, independent registered public accounting firm of Inflection Point Acquisition Corp. III.</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4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3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4"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705" w:type="dxa"/>
        <w:jc w:val="left"/>
        <w:tblInd w:w="0" w:type="dxa"/>
        <w:tblLayout w:type="fixed"/>
        <w:tblCellMar>
          <w:top w:w="0" w:type="dxa"/>
          <w:left w:w="0" w:type="dxa"/>
          <w:bottom w:w="0" w:type="dxa"/>
          <w:right w:w="0" w:type="dxa"/>
        </w:tblCellMar>
      </w:tblPr>
      <w:tblGrid>
        <w:gridCol w:w="305"/>
        <w:gridCol w:w="1400"/>
      </w:tblGrid>
      <w:tr>
        <w:trPr/>
        <w:tc>
          <w:tcPr>
            <w:tcW w:w="30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w:t>
            </w:r>
          </w:p>
        </w:tc>
        <w:tc>
          <w:tcPr>
            <w:tcW w:w="9999" w:type="dxa"/>
            <w:tcBorders/>
            <w:vAlign w:val="center"/>
          </w:tcPr>
          <w:p>
            <w:pPr>
              <w:pStyle w:val="TableContents"/>
              <w:bidi w:val="0"/>
              <w:spacing w:before="0" w:after="283"/>
              <w:jc w:val="both"/>
              <w:rPr/>
            </w:pPr>
            <w:r>
              <w:rPr/>
              <w:t>Certain of the exhibits and schedules to this Exhibit have been omitted in accordance with Regulation S-K Item 601(a)(5). The Registrant agrees to furnish supplementally a copy of all omitted exhibits and schedules to the Securities and Exchange Commission upon its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report on its behalf.</w:t>
      </w:r>
    </w:p>
    <w:p>
      <w:pPr>
        <w:pStyle w:val="TextBody"/>
        <w:bidi w:val="0"/>
        <w:spacing w:before="0" w:after="0"/>
        <w:ind w:left="0" w:right="0" w:firstLine="72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2195"/>
        <w:gridCol w:w="910"/>
        <w:gridCol w:w="3115"/>
      </w:tblGrid>
      <w:tr>
        <w:trPr/>
        <w:tc>
          <w:tcPr>
            <w:tcW w:w="2195" w:type="dxa"/>
            <w:tcBorders/>
            <w:vAlign w:val="center"/>
          </w:tcPr>
          <w:p>
            <w:pPr>
              <w:pStyle w:val="TableContents"/>
              <w:bidi w:val="0"/>
              <w:spacing w:before="0" w:after="283"/>
              <w:jc w:val="left"/>
              <w:rPr/>
            </w:pPr>
            <w:r>
              <w:rPr/>
              <w:t> </w:t>
            </w:r>
          </w:p>
        </w:tc>
        <w:tc>
          <w:tcPr>
            <w:tcW w:w="4025" w:type="dxa"/>
            <w:gridSpan w:val="2"/>
            <w:tcBorders/>
            <w:vAlign w:val="center"/>
          </w:tcPr>
          <w:p>
            <w:pPr>
              <w:pStyle w:val="TableContents"/>
              <w:bidi w:val="0"/>
              <w:spacing w:before="0" w:after="283"/>
              <w:jc w:val="left"/>
              <w:rPr>
                <w:b/>
                <w:caps/>
              </w:rPr>
            </w:pPr>
            <w:r>
              <w:rPr>
                <w:b/>
                <w:caps/>
              </w:rPr>
              <w:t>Air Water Ventures Limited</w:t>
            </w:r>
          </w:p>
        </w:tc>
      </w:tr>
      <w:tr>
        <w:trPr/>
        <w:tc>
          <w:tcPr>
            <w:tcW w:w="219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311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20, 2026</w:t>
            </w:r>
          </w:p>
        </w:tc>
        <w:tc>
          <w:tcPr>
            <w:tcW w:w="910" w:type="dxa"/>
            <w:tcBorders/>
            <w:vAlign w:val="center"/>
          </w:tcPr>
          <w:p>
            <w:pPr>
              <w:pStyle w:val="TableContents"/>
              <w:bidi w:val="0"/>
              <w:spacing w:before="0" w:after="283"/>
              <w:jc w:val="left"/>
              <w:rPr/>
            </w:pPr>
            <w:r>
              <w:rPr/>
              <w:t>By:</w:t>
            </w:r>
          </w:p>
        </w:tc>
        <w:tc>
          <w:tcPr>
            <w:tcW w:w="3115" w:type="dxa"/>
            <w:tcBorders>
              <w:bottom w:val="single" w:sz="12" w:space="0" w:color="000000"/>
            </w:tcBorders>
            <w:tcMar>
              <w:bottom w:w="28" w:type="dxa"/>
            </w:tcMar>
            <w:vAlign w:val="center"/>
          </w:tcPr>
          <w:p>
            <w:pPr>
              <w:pStyle w:val="TableContents"/>
              <w:bidi w:val="0"/>
              <w:spacing w:before="0" w:after="283"/>
              <w:jc w:val="left"/>
              <w:rPr/>
            </w:pPr>
            <w:r>
              <w:rPr/>
              <w:t>/s/ David Tuerff</w:t>
            </w:r>
          </w:p>
        </w:tc>
      </w:tr>
      <w:tr>
        <w:trPr/>
        <w:tc>
          <w:tcPr>
            <w:tcW w:w="219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Name:</w:t>
            </w:r>
          </w:p>
        </w:tc>
        <w:tc>
          <w:tcPr>
            <w:tcW w:w="3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Tuerff</w:t>
            </w:r>
          </w:p>
        </w:tc>
      </w:tr>
      <w:tr>
        <w:trPr/>
        <w:tc>
          <w:tcPr>
            <w:tcW w:w="219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Title:</w:t>
            </w:r>
          </w:p>
        </w:tc>
        <w:tc>
          <w:tcPr>
            <w:tcW w:w="311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right"/>
        <w:rPr>
          <w:b/>
        </w:rPr>
      </w:pPr>
      <w:bookmarkStart w:id="23" w:name="ea030279801ex1-1.htm"/>
      <w:bookmarkStart w:id="24" w:name="ksea030279801ex11"/>
      <w:bookmarkEnd w:id="23"/>
      <w:bookmarkEnd w:id="24"/>
      <w:r>
        <w:rPr>
          <w:b/>
        </w:rPr>
        <w:t>Exhibit 1.1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649" w:type="dxa"/>
        <w:jc w:val="left"/>
        <w:tblInd w:w="0" w:type="dxa"/>
        <w:tblLayout w:type="fixed"/>
        <w:tblCellMar>
          <w:top w:w="0" w:type="dxa"/>
          <w:left w:w="0" w:type="dxa"/>
          <w:bottom w:w="0" w:type="dxa"/>
          <w:right w:w="0" w:type="dxa"/>
        </w:tblCellMar>
      </w:tblPr>
      <w:tblGrid>
        <w:gridCol w:w="148"/>
        <w:gridCol w:w="6353"/>
        <w:gridCol w:w="148"/>
      </w:tblGrid>
      <w:tr>
        <w:trPr/>
        <w:tc>
          <w:tcPr>
            <w:tcW w:w="6649" w:type="dxa"/>
            <w:gridSpan w:val="3"/>
            <w:tcBorders/>
            <w:vAlign w:val="center"/>
          </w:tcPr>
          <w:p>
            <w:pPr>
              <w:pStyle w:val="TableContents"/>
              <w:bidi w:val="0"/>
              <w:spacing w:before="0" w:after="283"/>
              <w:jc w:val="right"/>
              <w:rPr/>
            </w:pPr>
            <w:r>
              <w:rPr/>
              <w:t> </w:t>
            </w:r>
          </w:p>
        </w:tc>
      </w:tr>
      <w:tr>
        <w:trPr/>
        <w:tc>
          <w:tcPr>
            <w:tcW w:w="6649"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6649" w:type="dxa"/>
            <w:gridSpan w:val="3"/>
            <w:tcBorders/>
            <w:vAlign w:val="center"/>
          </w:tcPr>
          <w:p>
            <w:pPr>
              <w:pStyle w:val="TableContents"/>
              <w:bidi w:val="0"/>
              <w:spacing w:before="0" w:after="283"/>
              <w:jc w:val="center"/>
              <w:rPr/>
            </w:pPr>
            <w:r>
              <w:rPr/>
              <w:t> </w:t>
            </w:r>
          </w:p>
        </w:tc>
      </w:tr>
      <w:tr>
        <w:trPr/>
        <w:tc>
          <w:tcPr>
            <w:tcW w:w="6649" w:type="dxa"/>
            <w:gridSpan w:val="3"/>
            <w:tcBorders/>
            <w:vAlign w:val="center"/>
          </w:tcPr>
          <w:p>
            <w:pPr>
              <w:pStyle w:val="TableContents"/>
              <w:bidi w:val="0"/>
              <w:spacing w:before="0" w:after="283"/>
              <w:jc w:val="center"/>
              <w:rPr/>
            </w:pPr>
            <w:r>
              <w:rPr/>
              <w:t> </w:t>
            </w:r>
          </w:p>
        </w:tc>
      </w:tr>
      <w:tr>
        <w:trPr/>
        <w:tc>
          <w:tcPr>
            <w:tcW w:w="6649" w:type="dxa"/>
            <w:gridSpan w:val="3"/>
            <w:tcBorders/>
            <w:vAlign w:val="center"/>
          </w:tcPr>
          <w:p>
            <w:pPr>
              <w:pStyle w:val="TableContents"/>
              <w:bidi w:val="0"/>
              <w:spacing w:before="0" w:after="283"/>
              <w:jc w:val="center"/>
              <w:rPr/>
            </w:pPr>
            <w:r>
              <w:rPr/>
              <w:t> </w:t>
            </w:r>
          </w:p>
        </w:tc>
      </w:tr>
      <w:tr>
        <w:trPr/>
        <w:tc>
          <w:tcPr>
            <w:tcW w:w="6649" w:type="dxa"/>
            <w:gridSpan w:val="3"/>
            <w:tcBorders/>
            <w:vAlign w:val="center"/>
          </w:tcPr>
          <w:p>
            <w:pPr>
              <w:pStyle w:val="TableContents"/>
              <w:bidi w:val="0"/>
              <w:spacing w:before="0" w:after="283"/>
              <w:jc w:val="center"/>
              <w:rPr/>
            </w:pPr>
            <w:r>
              <w:rPr/>
              <w:t> </w:t>
            </w:r>
          </w:p>
        </w:tc>
      </w:tr>
      <w:tr>
        <w:trPr/>
        <w:tc>
          <w:tcPr>
            <w:tcW w:w="148" w:type="dxa"/>
            <w:tcBorders/>
            <w:vAlign w:val="center"/>
          </w:tcPr>
          <w:p>
            <w:pPr>
              <w:pStyle w:val="TableContents"/>
              <w:bidi w:val="0"/>
              <w:spacing w:before="0" w:after="283"/>
              <w:jc w:val="center"/>
              <w:rPr/>
            </w:pPr>
            <w:r>
              <w:rPr/>
              <w:t> </w:t>
            </w:r>
          </w:p>
        </w:tc>
        <w:tc>
          <w:tcPr>
            <w:tcW w:w="6353"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memorandum of association</w:t>
              <w:br/>
              <w:t>OF</w:t>
              <w:br/>
              <w:t>AIR WATER VENTURES LIMITED</w:t>
            </w:r>
          </w:p>
          <w:p>
            <w:pPr>
              <w:pStyle w:val="TableContents"/>
              <w:bidi w:val="0"/>
              <w:spacing w:before="0" w:after="0"/>
              <w:ind w:left="0" w:right="0" w:hanging="0"/>
              <w:jc w:val="center"/>
              <w:rPr>
                <w:caps/>
              </w:rPr>
            </w:pPr>
            <w:r>
              <w:rPr>
                <w:caps/>
              </w:rPr>
              <w:t> </w:t>
            </w:r>
          </w:p>
        </w:tc>
        <w:tc>
          <w:tcPr>
            <w:tcW w:w="148" w:type="dxa"/>
            <w:tcBorders/>
            <w:vAlign w:val="center"/>
          </w:tcPr>
          <w:p>
            <w:pPr>
              <w:pStyle w:val="TableContents"/>
              <w:bidi w:val="0"/>
              <w:spacing w:before="0" w:after="283"/>
              <w:jc w:val="center"/>
              <w:rPr/>
            </w:pPr>
            <w:r>
              <w:rPr/>
              <w:t> </w:t>
            </w:r>
          </w:p>
        </w:tc>
      </w:tr>
      <w:tr>
        <w:trPr/>
        <w:tc>
          <w:tcPr>
            <w:tcW w:w="6649" w:type="dxa"/>
            <w:gridSpan w:val="3"/>
            <w:tcBorders/>
            <w:vAlign w:val="center"/>
          </w:tcPr>
          <w:p>
            <w:pPr>
              <w:pStyle w:val="TableContents"/>
              <w:bidi w:val="0"/>
              <w:spacing w:before="0" w:after="283"/>
              <w:jc w:val="center"/>
              <w:rPr>
                <w:sz w:val="20"/>
              </w:rPr>
            </w:pPr>
            <w:r>
              <w:rPr>
                <w:sz w:val="20"/>
              </w:rPr>
              <w:t>Adopted by special resolution on July 29, 2026 and effective on August 13,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23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July 29, 2026 and effective on August 13,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3"/>
        <w:gridCol w:w="9915"/>
      </w:tblGrid>
      <w:tr>
        <w:trPr/>
        <w:tc>
          <w:tcPr>
            <w:tcW w:w="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1</w:t>
            </w:r>
          </w:p>
        </w:tc>
        <w:tc>
          <w:tcPr>
            <w:tcW w:w="9915" w:type="dxa"/>
            <w:tcBorders/>
            <w:vAlign w:val="center"/>
          </w:tcPr>
          <w:p>
            <w:pPr>
              <w:pStyle w:val="TableContents"/>
              <w:bidi w:val="0"/>
              <w:spacing w:before="0" w:after="283"/>
              <w:jc w:val="both"/>
              <w:rPr/>
            </w:pPr>
            <w:r>
              <w:rPr/>
              <w:t>The name of the Company is Air Water Ventures Limited</w:t>
            </w:r>
            <w:r>
              <w:rPr>
                <w:caps/>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2</w:t>
            </w:r>
          </w:p>
        </w:tc>
        <w:tc>
          <w:tcPr>
            <w:tcW w:w="10043" w:type="dxa"/>
            <w:tcBorders/>
            <w:vAlign w:val="center"/>
          </w:tcPr>
          <w:p>
            <w:pPr>
              <w:pStyle w:val="TableContents"/>
              <w:bidi w:val="0"/>
              <w:spacing w:before="0" w:after="283"/>
              <w:jc w:val="both"/>
              <w:rPr/>
            </w:pPr>
            <w:r>
              <w:rPr/>
              <w:t>The registered office of the Company shall be at the offices of Ogier Global (Cayman) Limited, 89 Nexus Way, Camana Bay, Grand Cayman, KY1-9009, Cayman Islands or at such other place in the Cayman Islands as the directors may at any time decide.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3</w:t>
            </w:r>
          </w:p>
        </w:tc>
        <w:tc>
          <w:tcPr>
            <w:tcW w:w="10043" w:type="dxa"/>
            <w:tcBorders/>
            <w:vAlign w:val="center"/>
          </w:tcPr>
          <w:p>
            <w:pPr>
              <w:pStyle w:val="TableContents"/>
              <w:bidi w:val="0"/>
              <w:spacing w:before="0" w:after="283"/>
              <w:jc w:val="both"/>
              <w:rPr/>
            </w:pPr>
            <w:r>
              <w:rPr/>
              <w:t>Subject to the following provisions of this Memorandum, the objects for which the Company is established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4</w:t>
            </w:r>
          </w:p>
        </w:tc>
        <w:tc>
          <w:tcPr>
            <w:tcW w:w="10043" w:type="dxa"/>
            <w:tcBorders/>
            <w:vAlign w:val="center"/>
          </w:tcPr>
          <w:p>
            <w:pPr>
              <w:pStyle w:val="TableContents"/>
              <w:bidi w:val="0"/>
              <w:spacing w:before="0" w:after="283"/>
              <w:jc w:val="both"/>
              <w:rPr/>
            </w:pPr>
            <w:r>
              <w:rPr/>
              <w:t>Subject to the following provisions of this Memorandum, 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5</w:t>
            </w:r>
          </w:p>
        </w:tc>
        <w:tc>
          <w:tcPr>
            <w:tcW w:w="10043" w:type="dxa"/>
            <w:tcBorders/>
            <w:vAlign w:val="center"/>
          </w:tcPr>
          <w:p>
            <w:pPr>
              <w:pStyle w:val="TableContents"/>
              <w:bidi w:val="0"/>
              <w:spacing w:before="0" w:after="283"/>
              <w:jc w:val="both"/>
              <w:rPr/>
            </w:pPr>
            <w:r>
              <w:rPr/>
              <w:t>Nothing in any of the preceding paragraphs permits the Company to carry on any of the following businesses without being duly licensed, namely: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the business of a bank or trust company without being licensed in that behalf under the Banks and Trust Companies Act (Revised);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insurance business from within the Cayman Islands or the business of an insurance manager, agent, sub-agent or broker without being licensed in that behalf under the Insurance Act (Revised);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(c)</w:t>
            </w:r>
          </w:p>
        </w:tc>
        <w:tc>
          <w:tcPr>
            <w:tcW w:w="9908" w:type="dxa"/>
            <w:tcBorders/>
            <w:vAlign w:val="center"/>
          </w:tcPr>
          <w:p>
            <w:pPr>
              <w:pStyle w:val="TableContents"/>
              <w:bidi w:val="0"/>
              <w:spacing w:before="0" w:after="283"/>
              <w:jc w:val="both"/>
              <w:rPr/>
            </w:pPr>
            <w:r>
              <w:rPr/>
              <w:t>the business of company management without being licensed in that behalf under the Companies Management Act (Revised).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6</w:t>
            </w:r>
          </w:p>
        </w:tc>
        <w:tc>
          <w:tcPr>
            <w:tcW w:w="10043" w:type="dxa"/>
            <w:tcBorders/>
            <w:vAlign w:val="center"/>
          </w:tcPr>
          <w:p>
            <w:pPr>
              <w:pStyle w:val="TableContents"/>
              <w:bidi w:val="0"/>
              <w:spacing w:before="0" w:after="283"/>
              <w:jc w:val="both"/>
              <w:rPr/>
            </w:pPr>
            <w:r>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7</w:t>
            </w:r>
          </w:p>
        </w:tc>
        <w:tc>
          <w:tcPr>
            <w:tcW w:w="10043" w:type="dxa"/>
            <w:tcBorders/>
            <w:vAlign w:val="center"/>
          </w:tcPr>
          <w:p>
            <w:pPr>
              <w:pStyle w:val="TableContents"/>
              <w:bidi w:val="0"/>
              <w:spacing w:before="0" w:after="283"/>
              <w:jc w:val="both"/>
              <w:rPr/>
            </w:pPr>
            <w:r>
              <w:rPr/>
              <w:t>The Company is a company limited by shares and accordingly the liability of each member is limited to the amount (if any) unpaid on that member’s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8</w:t>
            </w:r>
          </w:p>
        </w:tc>
        <w:tc>
          <w:tcPr>
            <w:tcW w:w="10043" w:type="dxa"/>
            <w:tcBorders/>
            <w:vAlign w:val="center"/>
          </w:tcPr>
          <w:p>
            <w:pPr>
              <w:pStyle w:val="TableContents"/>
              <w:bidi w:val="0"/>
              <w:spacing w:before="0" w:after="283"/>
              <w:jc w:val="both"/>
              <w:rPr/>
            </w:pPr>
            <w:r>
              <w:rPr/>
              <w:t>The share capital of the Company is US$50,000 divided into 499,870,000 ordinary shares of US$0.0001 par value each and 130,000 series A redeemable preference shares of US$0.0001 par value each. However, subject to the Companies Act (Revised) and the Company’s articles of association, the Company has power to do any one or more of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700"/>
        <w:gridCol w:w="9409"/>
      </w:tblGrid>
      <w:tr>
        <w:trPr/>
        <w:tc>
          <w:tcPr>
            <w:tcW w:w="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(a)</w:t>
            </w:r>
          </w:p>
        </w:tc>
        <w:tc>
          <w:tcPr>
            <w:tcW w:w="9409" w:type="dxa"/>
            <w:tcBorders/>
            <w:vAlign w:val="center"/>
          </w:tcPr>
          <w:p>
            <w:pPr>
              <w:pStyle w:val="TableContents"/>
              <w:bidi w:val="0"/>
              <w:spacing w:before="0" w:after="283"/>
              <w:jc w:val="both"/>
              <w:rPr/>
            </w:pPr>
            <w:r>
              <w:rPr/>
              <w:t>redeem or repurchase any of its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962"/>
        <w:gridCol w:w="9118"/>
      </w:tblGrid>
      <w:tr>
        <w:trPr/>
        <w:tc>
          <w:tcPr>
            <w:tcW w:w="12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pPr>
            <w:r>
              <w:rPr/>
              <w:t>(b)</w:t>
            </w:r>
          </w:p>
        </w:tc>
        <w:tc>
          <w:tcPr>
            <w:tcW w:w="9118" w:type="dxa"/>
            <w:tcBorders/>
            <w:vAlign w:val="center"/>
          </w:tcPr>
          <w:p>
            <w:pPr>
              <w:pStyle w:val="TableContents"/>
              <w:bidi w:val="0"/>
              <w:spacing w:before="0" w:after="283"/>
              <w:jc w:val="both"/>
              <w:rPr/>
            </w:pPr>
            <w:r>
              <w:rPr/>
              <w:t>increase or reduce its capital;</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62"/>
        <w:gridCol w:w="9794"/>
      </w:tblGrid>
      <w:tr>
        <w:trPr/>
        <w:tc>
          <w:tcPr>
            <w:tcW w:w="4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(c)</w:t>
            </w:r>
          </w:p>
        </w:tc>
        <w:tc>
          <w:tcPr>
            <w:tcW w:w="9794" w:type="dxa"/>
            <w:tcBorders/>
            <w:vAlign w:val="center"/>
          </w:tcPr>
          <w:p>
            <w:pPr>
              <w:pStyle w:val="TableContents"/>
              <w:bidi w:val="0"/>
              <w:spacing w:before="0" w:after="283"/>
              <w:jc w:val="both"/>
              <w:rPr/>
            </w:pPr>
            <w:r>
              <w:rPr/>
              <w:t>issue any part of its capital (whether original, redeemed, increased or reduced):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2"/>
        <w:gridCol w:w="9912"/>
      </w:tblGrid>
      <w:tr>
        <w:trPr/>
        <w:tc>
          <w:tcPr>
            <w:tcW w:w="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w:t>
            </w:r>
          </w:p>
        </w:tc>
        <w:tc>
          <w:tcPr>
            <w:tcW w:w="9912" w:type="dxa"/>
            <w:tcBorders/>
            <w:vAlign w:val="center"/>
          </w:tcPr>
          <w:p>
            <w:pPr>
              <w:pStyle w:val="TableContents"/>
              <w:bidi w:val="0"/>
              <w:spacing w:before="0" w:after="283"/>
              <w:jc w:val="both"/>
              <w:rPr/>
            </w:pPr>
            <w:r>
              <w:rPr/>
              <w:t>with or without any preferential, deferred, qualified or special rights, privileges or conditions; or</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733"/>
        <w:gridCol w:w="9377"/>
      </w:tblGrid>
      <w:tr>
        <w:trPr/>
        <w:tc>
          <w:tcPr>
            <w:tcW w:w="9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pPr>
            <w:r>
              <w:rPr/>
              <w:t>(ii)</w:t>
            </w:r>
          </w:p>
        </w:tc>
        <w:tc>
          <w:tcPr>
            <w:tcW w:w="9377" w:type="dxa"/>
            <w:tcBorders/>
            <w:vAlign w:val="center"/>
          </w:tcPr>
          <w:p>
            <w:pPr>
              <w:pStyle w:val="TableContents"/>
              <w:bidi w:val="0"/>
              <w:spacing w:before="0" w:after="283"/>
              <w:jc w:val="both"/>
              <w:rPr/>
            </w:pPr>
            <w:r>
              <w:rPr/>
              <w:t>subject to any limitations or restrictions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and</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12"/>
        <w:gridCol w:w="9740"/>
      </w:tblGrid>
      <w:tr>
        <w:trPr/>
        <w:tc>
          <w:tcPr>
            <w:tcW w:w="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(d)</w:t>
            </w:r>
          </w:p>
        </w:tc>
        <w:tc>
          <w:tcPr>
            <w:tcW w:w="9740" w:type="dxa"/>
            <w:tcBorders/>
            <w:vAlign w:val="center"/>
          </w:tcPr>
          <w:p>
            <w:pPr>
              <w:pStyle w:val="TableContents"/>
              <w:bidi w:val="0"/>
              <w:spacing w:before="0" w:after="283"/>
              <w:jc w:val="both"/>
              <w:rPr/>
            </w:pPr>
            <w:r>
              <w:rPr/>
              <w:t>alter any of those rights, privileges, conditions, limitations or restrictions.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9</w:t>
            </w:r>
          </w:p>
        </w:tc>
        <w:tc>
          <w:tcPr>
            <w:tcW w:w="10043"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150"/>
        <w:gridCol w:w="6348"/>
        <w:gridCol w:w="150"/>
      </w:tblGrid>
      <w:tr>
        <w:trPr/>
        <w:tc>
          <w:tcPr>
            <w:tcW w:w="6648" w:type="dxa"/>
            <w:gridSpan w:val="3"/>
            <w:tcBorders/>
            <w:vAlign w:val="center"/>
          </w:tcPr>
          <w:p>
            <w:pPr>
              <w:pStyle w:val="TableContents"/>
              <w:bidi w:val="0"/>
              <w:spacing w:before="0" w:after="283"/>
              <w:jc w:val="center"/>
              <w:rPr/>
            </w:pPr>
            <w:r>
              <w:rPr/>
              <w:t> </w:t>
            </w:r>
          </w:p>
        </w:tc>
      </w:tr>
      <w:tr>
        <w:trPr/>
        <w:tc>
          <w:tcPr>
            <w:tcW w:w="6648"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6648" w:type="dxa"/>
            <w:gridSpan w:val="3"/>
            <w:tcBorders/>
            <w:vAlign w:val="center"/>
          </w:tcPr>
          <w:p>
            <w:pPr>
              <w:pStyle w:val="TableContents"/>
              <w:bidi w:val="0"/>
              <w:spacing w:before="0" w:after="283"/>
              <w:jc w:val="center"/>
              <w:rPr/>
            </w:pPr>
            <w:r>
              <w:rPr/>
              <w:t> </w:t>
            </w:r>
          </w:p>
        </w:tc>
      </w:tr>
      <w:tr>
        <w:trPr/>
        <w:tc>
          <w:tcPr>
            <w:tcW w:w="150" w:type="dxa"/>
            <w:tcBorders/>
            <w:vAlign w:val="center"/>
          </w:tcPr>
          <w:p>
            <w:pPr>
              <w:pStyle w:val="TableContents"/>
              <w:bidi w:val="0"/>
              <w:spacing w:before="0" w:after="283"/>
              <w:jc w:val="center"/>
              <w:rPr/>
            </w:pPr>
            <w:r>
              <w:rPr/>
              <w:t> </w:t>
            </w:r>
          </w:p>
        </w:tc>
        <w:tc>
          <w:tcPr>
            <w:tcW w:w="6348"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br/>
              <w:t>articles of association</w:t>
              <w:br/>
              <w:t>of</w:t>
              <w:br/>
              <w:t>AIR WATER VENTURES LIMITED</w:t>
            </w:r>
          </w:p>
          <w:p>
            <w:pPr>
              <w:pStyle w:val="TableContents"/>
              <w:bidi w:val="0"/>
              <w:spacing w:before="0" w:after="0"/>
              <w:ind w:left="0" w:right="0" w:hanging="0"/>
              <w:jc w:val="center"/>
              <w:rPr>
                <w:caps w:val="false"/>
                <w:smallCaps w:val="false"/>
              </w:rPr>
            </w:pPr>
            <w:r>
              <w:rPr>
                <w:caps w:val="false"/>
                <w:smallCaps w:val="false"/>
              </w:rPr>
              <w:t> </w:t>
            </w:r>
          </w:p>
        </w:tc>
        <w:tc>
          <w:tcPr>
            <w:tcW w:w="150" w:type="dxa"/>
            <w:tcBorders/>
            <w:vAlign w:val="center"/>
          </w:tcPr>
          <w:p>
            <w:pPr>
              <w:pStyle w:val="TableContents"/>
              <w:bidi w:val="0"/>
              <w:spacing w:before="0" w:after="283"/>
              <w:jc w:val="center"/>
              <w:rPr/>
            </w:pPr>
            <w:r>
              <w:rPr/>
              <w:t> </w:t>
            </w:r>
          </w:p>
        </w:tc>
      </w:tr>
      <w:tr>
        <w:trPr/>
        <w:tc>
          <w:tcPr>
            <w:tcW w:w="6648" w:type="dxa"/>
            <w:gridSpan w:val="3"/>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July 29, 2026 and effective on August 13,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239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8364" w:type="dxa"/>
        <w:jc w:val="left"/>
        <w:tblInd w:w="0" w:type="dxa"/>
        <w:tblLayout w:type="fixed"/>
        <w:tblCellMar>
          <w:top w:w="0" w:type="dxa"/>
          <w:left w:w="0" w:type="dxa"/>
          <w:bottom w:w="0" w:type="dxa"/>
          <w:right w:w="0" w:type="dxa"/>
        </w:tblCellMar>
      </w:tblPr>
      <w:tblGrid>
        <w:gridCol w:w="232"/>
        <w:gridCol w:w="7857"/>
        <w:gridCol w:w="275"/>
      </w:tblGrid>
      <w:tr>
        <w:trPr/>
        <w:tc>
          <w:tcPr>
            <w:tcW w:w="232" w:type="dxa"/>
            <w:tcBorders/>
            <w:shd w:fill="CCEEFF" w:val="clear"/>
            <w:vAlign w:val="center"/>
          </w:tcPr>
          <w:p>
            <w:pPr>
              <w:pStyle w:val="TableContents"/>
              <w:bidi w:val="0"/>
              <w:spacing w:before="0" w:after="283"/>
              <w:jc w:val="left"/>
              <w:rPr>
                <w:b/>
              </w:rPr>
            </w:pPr>
            <w:r>
              <w:rPr>
                <w:b/>
              </w:rPr>
              <w:t>1</w:t>
            </w:r>
          </w:p>
        </w:tc>
        <w:tc>
          <w:tcPr>
            <w:tcW w:w="7857" w:type="dxa"/>
            <w:tcBorders/>
            <w:shd w:fill="CCEEFF" w:val="clear"/>
            <w:vAlign w:val="center"/>
          </w:tcPr>
          <w:p>
            <w:pPr>
              <w:pStyle w:val="TableContents"/>
              <w:bidi w:val="0"/>
              <w:spacing w:before="0" w:after="283"/>
              <w:jc w:val="left"/>
              <w:rPr>
                <w:b/>
              </w:rPr>
            </w:pPr>
            <w:r>
              <w:rPr>
                <w:b/>
              </w:rPr>
              <w:t>Definitions, interpretation and exclusion of Table A</w:t>
            </w:r>
          </w:p>
        </w:tc>
        <w:tc>
          <w:tcPr>
            <w:tcW w:w="275" w:type="dxa"/>
            <w:tcBorders/>
            <w:shd w:fill="CCEEFF" w:val="clear"/>
            <w:vAlign w:val="center"/>
          </w:tcPr>
          <w:p>
            <w:pPr>
              <w:pStyle w:val="TableContents"/>
              <w:bidi w:val="0"/>
              <w:spacing w:before="0" w:after="283"/>
              <w:jc w:val="center"/>
              <w:rPr>
                <w:b/>
              </w:rPr>
            </w:pPr>
            <w:r>
              <w:rPr>
                <w:b/>
              </w:rPr>
              <w:t>1</w:t>
            </w:r>
          </w:p>
        </w:tc>
      </w:tr>
      <w:tr>
        <w:trPr/>
        <w:tc>
          <w:tcPr>
            <w:tcW w:w="8089" w:type="dxa"/>
            <w:gridSpan w:val="2"/>
            <w:tcBorders/>
            <w:shd w:fill="FFFFFF" w:val="clear"/>
            <w:vAlign w:val="center"/>
          </w:tcPr>
          <w:p>
            <w:pPr>
              <w:pStyle w:val="TableContents"/>
              <w:bidi w:val="0"/>
              <w:spacing w:before="0" w:after="283"/>
              <w:jc w:val="left"/>
              <w:rPr/>
            </w:pPr>
            <w:r>
              <w:rPr/>
              <w:t>Definitions</w:t>
            </w:r>
          </w:p>
        </w:tc>
        <w:tc>
          <w:tcPr>
            <w:tcW w:w="275" w:type="dxa"/>
            <w:tcBorders/>
            <w:shd w:fill="FFFFFF" w:val="clear"/>
            <w:vAlign w:val="center"/>
          </w:tcPr>
          <w:p>
            <w:pPr>
              <w:pStyle w:val="TableContents"/>
              <w:bidi w:val="0"/>
              <w:spacing w:before="0" w:after="283"/>
              <w:jc w:val="center"/>
              <w:rPr/>
            </w:pPr>
            <w:r>
              <w:rPr/>
              <w:t>1</w:t>
            </w:r>
          </w:p>
        </w:tc>
      </w:tr>
      <w:tr>
        <w:trPr/>
        <w:tc>
          <w:tcPr>
            <w:tcW w:w="8089" w:type="dxa"/>
            <w:gridSpan w:val="2"/>
            <w:tcBorders/>
            <w:shd w:fill="CCEEFF" w:val="clear"/>
            <w:vAlign w:val="center"/>
          </w:tcPr>
          <w:p>
            <w:pPr>
              <w:pStyle w:val="TableContents"/>
              <w:bidi w:val="0"/>
              <w:spacing w:before="0" w:after="283"/>
              <w:jc w:val="left"/>
              <w:rPr/>
            </w:pPr>
            <w:r>
              <w:rPr/>
              <w:t>Interpretation</w:t>
            </w:r>
          </w:p>
        </w:tc>
        <w:tc>
          <w:tcPr>
            <w:tcW w:w="275" w:type="dxa"/>
            <w:tcBorders/>
            <w:shd w:fill="CCEEFF" w:val="clear"/>
            <w:vAlign w:val="center"/>
          </w:tcPr>
          <w:p>
            <w:pPr>
              <w:pStyle w:val="TableContents"/>
              <w:bidi w:val="0"/>
              <w:spacing w:before="0" w:after="283"/>
              <w:jc w:val="center"/>
              <w:rPr/>
            </w:pPr>
            <w:r>
              <w:rPr/>
              <w:t>7</w:t>
            </w:r>
          </w:p>
        </w:tc>
      </w:tr>
      <w:tr>
        <w:trPr/>
        <w:tc>
          <w:tcPr>
            <w:tcW w:w="8089" w:type="dxa"/>
            <w:gridSpan w:val="2"/>
            <w:tcBorders/>
            <w:shd w:fill="FFFFFF" w:val="clear"/>
            <w:vAlign w:val="center"/>
          </w:tcPr>
          <w:p>
            <w:pPr>
              <w:pStyle w:val="TableContents"/>
              <w:bidi w:val="0"/>
              <w:spacing w:before="0" w:after="283"/>
              <w:jc w:val="left"/>
              <w:rPr/>
            </w:pPr>
            <w:r>
              <w:rPr/>
              <w:t>Exclusion of Table A Articles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2</w:t>
            </w:r>
          </w:p>
        </w:tc>
        <w:tc>
          <w:tcPr>
            <w:tcW w:w="7857" w:type="dxa"/>
            <w:tcBorders/>
            <w:shd w:fill="FFFFFF" w:val="clear"/>
            <w:vAlign w:val="center"/>
          </w:tcPr>
          <w:p>
            <w:pPr>
              <w:pStyle w:val="TableContents"/>
              <w:bidi w:val="0"/>
              <w:spacing w:before="0" w:after="283"/>
              <w:jc w:val="left"/>
              <w:rPr>
                <w:b/>
              </w:rPr>
            </w:pPr>
            <w:r>
              <w:rPr>
                <w:b/>
              </w:rPr>
              <w:t>Shares</w:t>
            </w:r>
          </w:p>
        </w:tc>
        <w:tc>
          <w:tcPr>
            <w:tcW w:w="275" w:type="dxa"/>
            <w:tcBorders/>
            <w:shd w:fill="FFFFFF" w:val="clear"/>
            <w:vAlign w:val="center"/>
          </w:tcPr>
          <w:p>
            <w:pPr>
              <w:pStyle w:val="TableContents"/>
              <w:bidi w:val="0"/>
              <w:spacing w:before="0" w:after="283"/>
              <w:jc w:val="center"/>
              <w:rPr>
                <w:b/>
              </w:rPr>
            </w:pPr>
            <w:r>
              <w:rPr>
                <w:b/>
              </w:rPr>
              <w:t>9</w:t>
            </w:r>
          </w:p>
        </w:tc>
      </w:tr>
      <w:tr>
        <w:trPr/>
        <w:tc>
          <w:tcPr>
            <w:tcW w:w="8089" w:type="dxa"/>
            <w:gridSpan w:val="2"/>
            <w:tcBorders/>
            <w:shd w:fill="CCEEFF" w:val="clear"/>
            <w:vAlign w:val="center"/>
          </w:tcPr>
          <w:p>
            <w:pPr>
              <w:pStyle w:val="TableContents"/>
              <w:bidi w:val="0"/>
              <w:spacing w:before="0" w:after="283"/>
              <w:jc w:val="left"/>
              <w:rPr/>
            </w:pPr>
            <w:r>
              <w:rPr/>
              <w:t>Rights attaching to Ordinary Shares and Series A Shares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Power to issue Shares and options, with or without special rights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Power to pay commissions and brokerage fees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Trusts not recognised</w:t>
            </w:r>
          </w:p>
        </w:tc>
        <w:tc>
          <w:tcPr>
            <w:tcW w:w="275" w:type="dxa"/>
            <w:tcBorders/>
            <w:shd w:fill="FFFFFF" w:val="clear"/>
            <w:vAlign w:val="center"/>
          </w:tcPr>
          <w:p>
            <w:pPr>
              <w:pStyle w:val="TableContents"/>
              <w:bidi w:val="0"/>
              <w:spacing w:before="0" w:after="283"/>
              <w:jc w:val="center"/>
              <w:rPr/>
            </w:pPr>
            <w:r>
              <w:rPr/>
              <w:t>11</w:t>
            </w:r>
          </w:p>
        </w:tc>
      </w:tr>
      <w:tr>
        <w:trPr/>
        <w:tc>
          <w:tcPr>
            <w:tcW w:w="8089" w:type="dxa"/>
            <w:gridSpan w:val="2"/>
            <w:tcBorders/>
            <w:shd w:fill="CCEEFF" w:val="clear"/>
            <w:vAlign w:val="center"/>
          </w:tcPr>
          <w:p>
            <w:pPr>
              <w:pStyle w:val="TableContents"/>
              <w:bidi w:val="0"/>
              <w:spacing w:before="0" w:after="283"/>
              <w:jc w:val="left"/>
              <w:rPr/>
            </w:pPr>
            <w:r>
              <w:rPr/>
              <w:t>Security interests</w:t>
            </w:r>
          </w:p>
        </w:tc>
        <w:tc>
          <w:tcPr>
            <w:tcW w:w="275" w:type="dxa"/>
            <w:tcBorders/>
            <w:shd w:fill="CCEEFF" w:val="clear"/>
            <w:vAlign w:val="center"/>
          </w:tcPr>
          <w:p>
            <w:pPr>
              <w:pStyle w:val="TableContents"/>
              <w:bidi w:val="0"/>
              <w:spacing w:before="0" w:after="283"/>
              <w:jc w:val="center"/>
              <w:rPr/>
            </w:pPr>
            <w:r>
              <w:rPr/>
              <w:t>11</w:t>
            </w:r>
          </w:p>
        </w:tc>
      </w:tr>
      <w:tr>
        <w:trPr/>
        <w:tc>
          <w:tcPr>
            <w:tcW w:w="8089" w:type="dxa"/>
            <w:gridSpan w:val="2"/>
            <w:tcBorders/>
            <w:shd w:fill="FFFFFF" w:val="clear"/>
            <w:vAlign w:val="center"/>
          </w:tcPr>
          <w:p>
            <w:pPr>
              <w:pStyle w:val="TableContents"/>
              <w:bidi w:val="0"/>
              <w:spacing w:before="0" w:after="283"/>
              <w:jc w:val="left"/>
              <w:rPr/>
            </w:pPr>
            <w:r>
              <w:rPr/>
              <w:t>Power to vary class rights</w:t>
            </w:r>
          </w:p>
        </w:tc>
        <w:tc>
          <w:tcPr>
            <w:tcW w:w="275" w:type="dxa"/>
            <w:tcBorders/>
            <w:shd w:fill="FFFFFF" w:val="clear"/>
            <w:vAlign w:val="center"/>
          </w:tcPr>
          <w:p>
            <w:pPr>
              <w:pStyle w:val="TableContents"/>
              <w:bidi w:val="0"/>
              <w:spacing w:before="0" w:after="283"/>
              <w:jc w:val="center"/>
              <w:rPr/>
            </w:pPr>
            <w:r>
              <w:rPr/>
              <w:t>11</w:t>
            </w:r>
          </w:p>
        </w:tc>
      </w:tr>
      <w:tr>
        <w:trPr/>
        <w:tc>
          <w:tcPr>
            <w:tcW w:w="8089" w:type="dxa"/>
            <w:gridSpan w:val="2"/>
            <w:tcBorders/>
            <w:shd w:fill="CCEEFF" w:val="clear"/>
            <w:vAlign w:val="center"/>
          </w:tcPr>
          <w:p>
            <w:pPr>
              <w:pStyle w:val="TableContents"/>
              <w:bidi w:val="0"/>
              <w:spacing w:before="0" w:after="283"/>
              <w:jc w:val="left"/>
              <w:rPr/>
            </w:pPr>
            <w:r>
              <w:rPr/>
              <w:t>Effect of new Share issue on existing class rights</w:t>
            </w:r>
          </w:p>
        </w:tc>
        <w:tc>
          <w:tcPr>
            <w:tcW w:w="275" w:type="dxa"/>
            <w:tcBorders/>
            <w:shd w:fill="CCEEFF" w:val="clear"/>
            <w:vAlign w:val="center"/>
          </w:tcPr>
          <w:p>
            <w:pPr>
              <w:pStyle w:val="TableContents"/>
              <w:bidi w:val="0"/>
              <w:spacing w:before="0" w:after="283"/>
              <w:jc w:val="center"/>
              <w:rPr/>
            </w:pPr>
            <w:r>
              <w:rPr/>
              <w:t>11</w:t>
            </w:r>
          </w:p>
        </w:tc>
      </w:tr>
      <w:tr>
        <w:trPr/>
        <w:tc>
          <w:tcPr>
            <w:tcW w:w="8089" w:type="dxa"/>
            <w:gridSpan w:val="2"/>
            <w:tcBorders/>
            <w:shd w:fill="FFFFFF" w:val="clear"/>
            <w:vAlign w:val="center"/>
          </w:tcPr>
          <w:p>
            <w:pPr>
              <w:pStyle w:val="TableContents"/>
              <w:bidi w:val="0"/>
              <w:spacing w:before="0" w:after="283"/>
              <w:jc w:val="left"/>
              <w:rPr/>
            </w:pPr>
            <w:r>
              <w:rPr/>
              <w:t>Capital contributions without issue of further Shares</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No bearer Shares or warrants</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Treasury Shares</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Rights attaching to Treasury Shares and related matters</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Register of Members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Annual Return</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3</w:t>
            </w:r>
          </w:p>
        </w:tc>
        <w:tc>
          <w:tcPr>
            <w:tcW w:w="7857" w:type="dxa"/>
            <w:tcBorders/>
            <w:shd w:fill="CCEEFF" w:val="clear"/>
            <w:vAlign w:val="center"/>
          </w:tcPr>
          <w:p>
            <w:pPr>
              <w:pStyle w:val="TableContents"/>
              <w:bidi w:val="0"/>
              <w:spacing w:before="0" w:after="283"/>
              <w:jc w:val="left"/>
              <w:rPr>
                <w:b/>
              </w:rPr>
            </w:pPr>
            <w:r>
              <w:rPr>
                <w:b/>
              </w:rPr>
              <w:t>Share certificates</w:t>
            </w:r>
          </w:p>
        </w:tc>
        <w:tc>
          <w:tcPr>
            <w:tcW w:w="275" w:type="dxa"/>
            <w:tcBorders/>
            <w:shd w:fill="CCEEFF" w:val="clear"/>
            <w:vAlign w:val="center"/>
          </w:tcPr>
          <w:p>
            <w:pPr>
              <w:pStyle w:val="TableContents"/>
              <w:bidi w:val="0"/>
              <w:spacing w:before="0" w:after="283"/>
              <w:jc w:val="center"/>
              <w:rPr>
                <w:b/>
              </w:rPr>
            </w:pPr>
            <w:r>
              <w:rPr>
                <w:b/>
              </w:rPr>
              <w:t>13</w:t>
            </w:r>
          </w:p>
        </w:tc>
      </w:tr>
      <w:tr>
        <w:trPr/>
        <w:tc>
          <w:tcPr>
            <w:tcW w:w="8089" w:type="dxa"/>
            <w:gridSpan w:val="2"/>
            <w:tcBorders/>
            <w:shd w:fill="FFFFFF" w:val="clear"/>
            <w:vAlign w:val="center"/>
          </w:tcPr>
          <w:p>
            <w:pPr>
              <w:pStyle w:val="TableContents"/>
              <w:bidi w:val="0"/>
              <w:spacing w:before="0" w:after="283"/>
              <w:jc w:val="left"/>
              <w:rPr/>
            </w:pPr>
            <w:r>
              <w:rPr/>
              <w:t>Issue of share certificates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Renewal of lost or damaged share certificates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4</w:t>
            </w:r>
          </w:p>
        </w:tc>
        <w:tc>
          <w:tcPr>
            <w:tcW w:w="7857" w:type="dxa"/>
            <w:tcBorders/>
            <w:shd w:fill="CCEEFF" w:val="clear"/>
            <w:vAlign w:val="center"/>
          </w:tcPr>
          <w:p>
            <w:pPr>
              <w:pStyle w:val="TableContents"/>
              <w:bidi w:val="0"/>
              <w:spacing w:before="0" w:after="283"/>
              <w:jc w:val="left"/>
              <w:rPr>
                <w:b/>
              </w:rPr>
            </w:pPr>
            <w:r>
              <w:rPr>
                <w:b/>
              </w:rPr>
              <w:t>Lien on Shares</w:t>
            </w:r>
          </w:p>
        </w:tc>
        <w:tc>
          <w:tcPr>
            <w:tcW w:w="275" w:type="dxa"/>
            <w:tcBorders/>
            <w:shd w:fill="CCEEFF" w:val="clear"/>
            <w:vAlign w:val="center"/>
          </w:tcPr>
          <w:p>
            <w:pPr>
              <w:pStyle w:val="TableContents"/>
              <w:bidi w:val="0"/>
              <w:spacing w:before="0" w:after="283"/>
              <w:jc w:val="center"/>
              <w:rPr>
                <w:b/>
              </w:rPr>
            </w:pPr>
            <w:r>
              <w:rPr>
                <w:b/>
              </w:rPr>
              <w:t>14</w:t>
            </w:r>
          </w:p>
        </w:tc>
      </w:tr>
      <w:tr>
        <w:trPr/>
        <w:tc>
          <w:tcPr>
            <w:tcW w:w="8089" w:type="dxa"/>
            <w:gridSpan w:val="2"/>
            <w:tcBorders/>
            <w:shd w:fill="FFFFFF" w:val="clear"/>
            <w:vAlign w:val="center"/>
          </w:tcPr>
          <w:p>
            <w:pPr>
              <w:pStyle w:val="TableContents"/>
              <w:bidi w:val="0"/>
              <w:spacing w:before="0" w:after="283"/>
              <w:jc w:val="left"/>
              <w:rPr/>
            </w:pPr>
            <w:r>
              <w:rPr/>
              <w:t>Nature and scope of lien</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Company may sell Shares to satisfy lien</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Authority to execute instrument of transfer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Consequences of sale of Shares to satisfy lien</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Application of proceeds of sale</w:t>
            </w:r>
          </w:p>
        </w:tc>
        <w:tc>
          <w:tcPr>
            <w:tcW w:w="275" w:type="dxa"/>
            <w:tcBorders/>
            <w:shd w:fill="FFFFFF" w:val="clear"/>
            <w:vAlign w:val="center"/>
          </w:tcPr>
          <w:p>
            <w:pPr>
              <w:pStyle w:val="TableContents"/>
              <w:bidi w:val="0"/>
              <w:spacing w:before="0" w:after="283"/>
              <w:jc w:val="center"/>
              <w:rPr/>
            </w:pPr>
            <w:r>
              <w:rPr/>
              <w:t>16</w:t>
            </w:r>
          </w:p>
        </w:tc>
      </w:tr>
      <w:tr>
        <w:trPr/>
        <w:tc>
          <w:tcPr>
            <w:tcW w:w="808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5</w:t>
            </w:r>
          </w:p>
        </w:tc>
        <w:tc>
          <w:tcPr>
            <w:tcW w:w="7857" w:type="dxa"/>
            <w:tcBorders/>
            <w:shd w:fill="FFFFFF" w:val="clear"/>
            <w:vAlign w:val="center"/>
          </w:tcPr>
          <w:p>
            <w:pPr>
              <w:pStyle w:val="TableContents"/>
              <w:bidi w:val="0"/>
              <w:spacing w:before="0" w:after="283"/>
              <w:jc w:val="left"/>
              <w:rPr>
                <w:b/>
              </w:rPr>
            </w:pPr>
            <w:r>
              <w:rPr>
                <w:b/>
              </w:rPr>
              <w:t>Calls on Shares and forfeiture</w:t>
            </w:r>
          </w:p>
        </w:tc>
        <w:tc>
          <w:tcPr>
            <w:tcW w:w="275" w:type="dxa"/>
            <w:tcBorders/>
            <w:shd w:fill="FFFFFF" w:val="clear"/>
            <w:vAlign w:val="center"/>
          </w:tcPr>
          <w:p>
            <w:pPr>
              <w:pStyle w:val="TableContents"/>
              <w:bidi w:val="0"/>
              <w:spacing w:before="0" w:after="283"/>
              <w:jc w:val="center"/>
              <w:rPr>
                <w:b/>
              </w:rPr>
            </w:pPr>
            <w:r>
              <w:rPr>
                <w:b/>
              </w:rPr>
              <w:t>16</w:t>
            </w:r>
          </w:p>
        </w:tc>
      </w:tr>
      <w:tr>
        <w:trPr/>
        <w:tc>
          <w:tcPr>
            <w:tcW w:w="8089" w:type="dxa"/>
            <w:gridSpan w:val="2"/>
            <w:tcBorders/>
            <w:shd w:fill="CCEEFF" w:val="clear"/>
            <w:vAlign w:val="center"/>
          </w:tcPr>
          <w:p>
            <w:pPr>
              <w:pStyle w:val="TableContents"/>
              <w:bidi w:val="0"/>
              <w:spacing w:before="0" w:after="283"/>
              <w:jc w:val="left"/>
              <w:rPr/>
            </w:pPr>
            <w:r>
              <w:rPr/>
              <w:t>Power to make calls and effect of calls</w:t>
            </w:r>
          </w:p>
        </w:tc>
        <w:tc>
          <w:tcPr>
            <w:tcW w:w="275" w:type="dxa"/>
            <w:tcBorders/>
            <w:shd w:fill="CCEEFF" w:val="clear"/>
            <w:vAlign w:val="center"/>
          </w:tcPr>
          <w:p>
            <w:pPr>
              <w:pStyle w:val="TableContents"/>
              <w:bidi w:val="0"/>
              <w:spacing w:before="0" w:after="283"/>
              <w:jc w:val="center"/>
              <w:rPr/>
            </w:pPr>
            <w:r>
              <w:rPr/>
              <w:t>16</w:t>
            </w:r>
          </w:p>
        </w:tc>
      </w:tr>
      <w:tr>
        <w:trPr/>
        <w:tc>
          <w:tcPr>
            <w:tcW w:w="8089" w:type="dxa"/>
            <w:gridSpan w:val="2"/>
            <w:tcBorders/>
            <w:shd w:fill="FFFFFF" w:val="clear"/>
            <w:vAlign w:val="center"/>
          </w:tcPr>
          <w:p>
            <w:pPr>
              <w:pStyle w:val="TableContents"/>
              <w:bidi w:val="0"/>
              <w:spacing w:before="0" w:after="283"/>
              <w:jc w:val="left"/>
              <w:rPr/>
            </w:pPr>
            <w:r>
              <w:rPr/>
              <w:t>Time when call made</w:t>
            </w:r>
          </w:p>
        </w:tc>
        <w:tc>
          <w:tcPr>
            <w:tcW w:w="275" w:type="dxa"/>
            <w:tcBorders/>
            <w:shd w:fill="FFFFFF" w:val="clear"/>
            <w:vAlign w:val="center"/>
          </w:tcPr>
          <w:p>
            <w:pPr>
              <w:pStyle w:val="TableContents"/>
              <w:bidi w:val="0"/>
              <w:spacing w:before="0" w:after="283"/>
              <w:jc w:val="center"/>
              <w:rPr/>
            </w:pPr>
            <w:r>
              <w:rPr/>
              <w:t>16</w:t>
            </w:r>
          </w:p>
        </w:tc>
      </w:tr>
      <w:tr>
        <w:trPr/>
        <w:tc>
          <w:tcPr>
            <w:tcW w:w="8089" w:type="dxa"/>
            <w:gridSpan w:val="2"/>
            <w:tcBorders/>
            <w:shd w:fill="CCEEFF" w:val="clear"/>
            <w:vAlign w:val="center"/>
          </w:tcPr>
          <w:p>
            <w:pPr>
              <w:pStyle w:val="TableContents"/>
              <w:bidi w:val="0"/>
              <w:spacing w:before="0" w:after="283"/>
              <w:jc w:val="left"/>
              <w:rPr/>
            </w:pPr>
            <w:r>
              <w:rPr/>
              <w:t>Liability of joint holders</w:t>
            </w:r>
          </w:p>
        </w:tc>
        <w:tc>
          <w:tcPr>
            <w:tcW w:w="275" w:type="dxa"/>
            <w:tcBorders/>
            <w:shd w:fill="CCEEFF" w:val="clear"/>
            <w:vAlign w:val="center"/>
          </w:tcPr>
          <w:p>
            <w:pPr>
              <w:pStyle w:val="TableContents"/>
              <w:bidi w:val="0"/>
              <w:spacing w:before="0" w:after="283"/>
              <w:jc w:val="center"/>
              <w:rPr/>
            </w:pPr>
            <w:r>
              <w:rPr/>
              <w:t>17</w:t>
            </w:r>
          </w:p>
        </w:tc>
      </w:tr>
      <w:tr>
        <w:trPr/>
        <w:tc>
          <w:tcPr>
            <w:tcW w:w="8089" w:type="dxa"/>
            <w:gridSpan w:val="2"/>
            <w:tcBorders/>
            <w:shd w:fill="FFFFFF" w:val="clear"/>
            <w:vAlign w:val="center"/>
          </w:tcPr>
          <w:p>
            <w:pPr>
              <w:pStyle w:val="TableContents"/>
              <w:bidi w:val="0"/>
              <w:spacing w:before="0" w:after="283"/>
              <w:jc w:val="left"/>
              <w:rPr/>
            </w:pPr>
            <w:r>
              <w:rPr/>
              <w:t>Interest on unpaid calls</w:t>
            </w:r>
          </w:p>
        </w:tc>
        <w:tc>
          <w:tcPr>
            <w:tcW w:w="275" w:type="dxa"/>
            <w:tcBorders/>
            <w:shd w:fill="FFFFFF" w:val="clear"/>
            <w:vAlign w:val="center"/>
          </w:tcPr>
          <w:p>
            <w:pPr>
              <w:pStyle w:val="TableContents"/>
              <w:bidi w:val="0"/>
              <w:spacing w:before="0" w:after="283"/>
              <w:jc w:val="center"/>
              <w:rPr/>
            </w:pPr>
            <w:r>
              <w:rPr/>
              <w:t>17</w:t>
            </w:r>
          </w:p>
        </w:tc>
      </w:tr>
      <w:tr>
        <w:trPr/>
        <w:tc>
          <w:tcPr>
            <w:tcW w:w="8089" w:type="dxa"/>
            <w:gridSpan w:val="2"/>
            <w:tcBorders/>
            <w:shd w:fill="CCEEFF" w:val="clear"/>
            <w:vAlign w:val="center"/>
          </w:tcPr>
          <w:p>
            <w:pPr>
              <w:pStyle w:val="TableContents"/>
              <w:bidi w:val="0"/>
              <w:spacing w:before="0" w:after="283"/>
              <w:jc w:val="left"/>
              <w:rPr/>
            </w:pPr>
            <w:r>
              <w:rPr/>
              <w:t>Deemed calls</w:t>
            </w:r>
          </w:p>
        </w:tc>
        <w:tc>
          <w:tcPr>
            <w:tcW w:w="275" w:type="dxa"/>
            <w:tcBorders/>
            <w:shd w:fill="CCEEFF" w:val="clear"/>
            <w:vAlign w:val="center"/>
          </w:tcPr>
          <w:p>
            <w:pPr>
              <w:pStyle w:val="TableContents"/>
              <w:bidi w:val="0"/>
              <w:spacing w:before="0" w:after="283"/>
              <w:jc w:val="center"/>
              <w:rPr/>
            </w:pPr>
            <w:r>
              <w:rPr/>
              <w:t>17</w:t>
            </w:r>
          </w:p>
        </w:tc>
      </w:tr>
      <w:tr>
        <w:trPr/>
        <w:tc>
          <w:tcPr>
            <w:tcW w:w="8089" w:type="dxa"/>
            <w:gridSpan w:val="2"/>
            <w:tcBorders/>
            <w:shd w:fill="FFFFFF" w:val="clear"/>
            <w:vAlign w:val="center"/>
          </w:tcPr>
          <w:p>
            <w:pPr>
              <w:pStyle w:val="TableContents"/>
              <w:bidi w:val="0"/>
              <w:spacing w:before="0" w:after="283"/>
              <w:jc w:val="left"/>
              <w:rPr/>
            </w:pPr>
            <w:r>
              <w:rPr/>
              <w:t>Power to accept early payment</w:t>
            </w:r>
          </w:p>
        </w:tc>
        <w:tc>
          <w:tcPr>
            <w:tcW w:w="275" w:type="dxa"/>
            <w:tcBorders/>
            <w:shd w:fill="FFFFFF" w:val="clear"/>
            <w:vAlign w:val="center"/>
          </w:tcPr>
          <w:p>
            <w:pPr>
              <w:pStyle w:val="TableContents"/>
              <w:bidi w:val="0"/>
              <w:spacing w:before="0" w:after="283"/>
              <w:jc w:val="center"/>
              <w:rPr/>
            </w:pPr>
            <w:r>
              <w:rPr/>
              <w:t>17</w:t>
            </w:r>
          </w:p>
        </w:tc>
      </w:tr>
      <w:tr>
        <w:trPr/>
        <w:tc>
          <w:tcPr>
            <w:tcW w:w="8089" w:type="dxa"/>
            <w:gridSpan w:val="2"/>
            <w:tcBorders/>
            <w:shd w:fill="CCEEFF" w:val="clear"/>
            <w:vAlign w:val="center"/>
          </w:tcPr>
          <w:p>
            <w:pPr>
              <w:pStyle w:val="TableContents"/>
              <w:bidi w:val="0"/>
              <w:spacing w:before="0" w:after="283"/>
              <w:jc w:val="left"/>
              <w:rPr/>
            </w:pPr>
            <w:r>
              <w:rPr/>
              <w:t>Power to make different arrangements at time of issue of Shares</w:t>
            </w:r>
          </w:p>
        </w:tc>
        <w:tc>
          <w:tcPr>
            <w:tcW w:w="275" w:type="dxa"/>
            <w:tcBorders/>
            <w:shd w:fill="CCEEFF" w:val="clear"/>
            <w:vAlign w:val="center"/>
          </w:tcPr>
          <w:p>
            <w:pPr>
              <w:pStyle w:val="TableContents"/>
              <w:bidi w:val="0"/>
              <w:spacing w:before="0" w:after="283"/>
              <w:jc w:val="center"/>
              <w:rPr/>
            </w:pPr>
            <w:r>
              <w:rPr/>
              <w:t>17</w:t>
            </w:r>
          </w:p>
        </w:tc>
      </w:tr>
      <w:tr>
        <w:trPr/>
        <w:tc>
          <w:tcPr>
            <w:tcW w:w="8089" w:type="dxa"/>
            <w:gridSpan w:val="2"/>
            <w:tcBorders/>
            <w:shd w:fill="FFFFFF" w:val="clear"/>
            <w:vAlign w:val="center"/>
          </w:tcPr>
          <w:p>
            <w:pPr>
              <w:pStyle w:val="TableContents"/>
              <w:bidi w:val="0"/>
              <w:spacing w:before="0" w:after="283"/>
              <w:jc w:val="left"/>
              <w:rPr/>
            </w:pPr>
            <w:r>
              <w:rPr/>
              <w:t>Notice of default</w:t>
            </w:r>
          </w:p>
        </w:tc>
        <w:tc>
          <w:tcPr>
            <w:tcW w:w="275" w:type="dxa"/>
            <w:tcBorders/>
            <w:shd w:fill="FFFFFF" w:val="clear"/>
            <w:vAlign w:val="center"/>
          </w:tcPr>
          <w:p>
            <w:pPr>
              <w:pStyle w:val="TableContents"/>
              <w:bidi w:val="0"/>
              <w:spacing w:before="0" w:after="283"/>
              <w:jc w:val="center"/>
              <w:rPr/>
            </w:pPr>
            <w:r>
              <w:rPr/>
              <w:t>17</w:t>
            </w:r>
          </w:p>
        </w:tc>
      </w:tr>
      <w:tr>
        <w:trPr/>
        <w:tc>
          <w:tcPr>
            <w:tcW w:w="8089" w:type="dxa"/>
            <w:gridSpan w:val="2"/>
            <w:tcBorders/>
            <w:shd w:fill="CCEEFF" w:val="clear"/>
            <w:vAlign w:val="center"/>
          </w:tcPr>
          <w:p>
            <w:pPr>
              <w:pStyle w:val="TableContents"/>
              <w:bidi w:val="0"/>
              <w:spacing w:before="0" w:after="283"/>
              <w:jc w:val="left"/>
              <w:rPr/>
            </w:pPr>
            <w:r>
              <w:rPr/>
              <w:t>Forfeiture or surrender of Shares</w:t>
            </w:r>
          </w:p>
        </w:tc>
        <w:tc>
          <w:tcPr>
            <w:tcW w:w="275" w:type="dxa"/>
            <w:tcBorders/>
            <w:shd w:fill="CCEEFF" w:val="clear"/>
            <w:vAlign w:val="center"/>
          </w:tcPr>
          <w:p>
            <w:pPr>
              <w:pStyle w:val="TableContents"/>
              <w:bidi w:val="0"/>
              <w:spacing w:before="0" w:after="283"/>
              <w:jc w:val="center"/>
              <w:rPr/>
            </w:pPr>
            <w:r>
              <w:rPr/>
              <w:t>18</w:t>
            </w:r>
          </w:p>
        </w:tc>
      </w:tr>
      <w:tr>
        <w:trPr/>
        <w:tc>
          <w:tcPr>
            <w:tcW w:w="8089" w:type="dxa"/>
            <w:gridSpan w:val="2"/>
            <w:tcBorders/>
            <w:shd w:fill="FFFFFF" w:val="clear"/>
            <w:vAlign w:val="center"/>
          </w:tcPr>
          <w:p>
            <w:pPr>
              <w:pStyle w:val="TableContents"/>
              <w:bidi w:val="0"/>
              <w:spacing w:before="0" w:after="283"/>
              <w:jc w:val="left"/>
              <w:rPr/>
            </w:pPr>
            <w:r>
              <w:rPr/>
              <w:t>Disposal of forfeited or surrendered Share and power to cancel forfeiture or surrender</w:t>
            </w:r>
          </w:p>
        </w:tc>
        <w:tc>
          <w:tcPr>
            <w:tcW w:w="275" w:type="dxa"/>
            <w:tcBorders/>
            <w:shd w:fill="FFFFFF" w:val="clear"/>
            <w:vAlign w:val="center"/>
          </w:tcPr>
          <w:p>
            <w:pPr>
              <w:pStyle w:val="TableContents"/>
              <w:bidi w:val="0"/>
              <w:spacing w:before="0" w:after="283"/>
              <w:jc w:val="center"/>
              <w:rPr/>
            </w:pPr>
            <w:r>
              <w:rPr/>
              <w:t>18</w:t>
            </w:r>
          </w:p>
        </w:tc>
      </w:tr>
      <w:tr>
        <w:trPr/>
        <w:tc>
          <w:tcPr>
            <w:tcW w:w="8089" w:type="dxa"/>
            <w:gridSpan w:val="2"/>
            <w:tcBorders/>
            <w:shd w:fill="CCEEFF" w:val="clear"/>
            <w:vAlign w:val="center"/>
          </w:tcPr>
          <w:p>
            <w:pPr>
              <w:pStyle w:val="TableContents"/>
              <w:bidi w:val="0"/>
              <w:spacing w:before="0" w:after="283"/>
              <w:jc w:val="left"/>
              <w:rPr/>
            </w:pPr>
            <w:r>
              <w:rPr/>
              <w:t>Effect of forfeiture or surrender on former Member</w:t>
            </w:r>
          </w:p>
        </w:tc>
        <w:tc>
          <w:tcPr>
            <w:tcW w:w="275" w:type="dxa"/>
            <w:tcBorders/>
            <w:shd w:fill="CCEEFF" w:val="clear"/>
            <w:vAlign w:val="center"/>
          </w:tcPr>
          <w:p>
            <w:pPr>
              <w:pStyle w:val="TableContents"/>
              <w:bidi w:val="0"/>
              <w:spacing w:before="0" w:after="283"/>
              <w:jc w:val="center"/>
              <w:rPr/>
            </w:pPr>
            <w:r>
              <w:rPr/>
              <w:t>18</w:t>
            </w:r>
          </w:p>
        </w:tc>
      </w:tr>
      <w:tr>
        <w:trPr/>
        <w:tc>
          <w:tcPr>
            <w:tcW w:w="8089" w:type="dxa"/>
            <w:gridSpan w:val="2"/>
            <w:tcBorders/>
            <w:shd w:fill="FFFFFF" w:val="clear"/>
            <w:vAlign w:val="center"/>
          </w:tcPr>
          <w:p>
            <w:pPr>
              <w:pStyle w:val="TableContents"/>
              <w:bidi w:val="0"/>
              <w:spacing w:before="0" w:after="283"/>
              <w:jc w:val="left"/>
              <w:rPr/>
            </w:pPr>
            <w:r>
              <w:rPr/>
              <w:t>Evidence of forfeiture or surrender</w:t>
            </w:r>
          </w:p>
        </w:tc>
        <w:tc>
          <w:tcPr>
            <w:tcW w:w="275" w:type="dxa"/>
            <w:tcBorders/>
            <w:shd w:fill="FFFFFF" w:val="clear"/>
            <w:vAlign w:val="center"/>
          </w:tcPr>
          <w:p>
            <w:pPr>
              <w:pStyle w:val="TableContents"/>
              <w:bidi w:val="0"/>
              <w:spacing w:before="0" w:after="283"/>
              <w:jc w:val="center"/>
              <w:rPr/>
            </w:pPr>
            <w:r>
              <w:rPr/>
              <w:t>19</w:t>
            </w:r>
          </w:p>
        </w:tc>
      </w:tr>
      <w:tr>
        <w:trPr/>
        <w:tc>
          <w:tcPr>
            <w:tcW w:w="8089" w:type="dxa"/>
            <w:gridSpan w:val="2"/>
            <w:tcBorders/>
            <w:shd w:fill="CCEEFF" w:val="clear"/>
            <w:vAlign w:val="center"/>
          </w:tcPr>
          <w:p>
            <w:pPr>
              <w:pStyle w:val="TableContents"/>
              <w:bidi w:val="0"/>
              <w:spacing w:before="0" w:after="283"/>
              <w:jc w:val="left"/>
              <w:rPr/>
            </w:pPr>
            <w:r>
              <w:rPr/>
              <w:t>Sale of forfeited or surrendered Shares</w:t>
            </w:r>
          </w:p>
        </w:tc>
        <w:tc>
          <w:tcPr>
            <w:tcW w:w="275" w:type="dxa"/>
            <w:tcBorders/>
            <w:shd w:fill="CCEEFF" w:val="clear"/>
            <w:vAlign w:val="center"/>
          </w:tcPr>
          <w:p>
            <w:pPr>
              <w:pStyle w:val="TableContents"/>
              <w:bidi w:val="0"/>
              <w:spacing w:before="0" w:after="283"/>
              <w:jc w:val="center"/>
              <w:rPr/>
            </w:pPr>
            <w:r>
              <w:rPr/>
              <w:t>19</w:t>
            </w:r>
          </w:p>
        </w:tc>
      </w:tr>
      <w:tr>
        <w:trPr/>
        <w:tc>
          <w:tcPr>
            <w:tcW w:w="808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6</w:t>
            </w:r>
          </w:p>
        </w:tc>
        <w:tc>
          <w:tcPr>
            <w:tcW w:w="7857" w:type="dxa"/>
            <w:tcBorders/>
            <w:shd w:fill="CCEEFF" w:val="clear"/>
            <w:vAlign w:val="center"/>
          </w:tcPr>
          <w:p>
            <w:pPr>
              <w:pStyle w:val="TableContents"/>
              <w:bidi w:val="0"/>
              <w:spacing w:before="0" w:after="283"/>
              <w:jc w:val="left"/>
              <w:rPr>
                <w:b/>
              </w:rPr>
            </w:pPr>
            <w:r>
              <w:rPr>
                <w:b/>
              </w:rPr>
              <w:t>Transfer of Shares</w:t>
            </w:r>
          </w:p>
        </w:tc>
        <w:tc>
          <w:tcPr>
            <w:tcW w:w="275" w:type="dxa"/>
            <w:tcBorders/>
            <w:shd w:fill="CCEEFF" w:val="clear"/>
            <w:vAlign w:val="center"/>
          </w:tcPr>
          <w:p>
            <w:pPr>
              <w:pStyle w:val="TableContents"/>
              <w:bidi w:val="0"/>
              <w:spacing w:before="0" w:after="283"/>
              <w:jc w:val="center"/>
              <w:rPr>
                <w:b/>
              </w:rPr>
            </w:pPr>
            <w:r>
              <w:rPr>
                <w:b/>
              </w:rPr>
              <w:t>19</w:t>
            </w:r>
          </w:p>
        </w:tc>
      </w:tr>
      <w:tr>
        <w:trPr/>
        <w:tc>
          <w:tcPr>
            <w:tcW w:w="8089" w:type="dxa"/>
            <w:gridSpan w:val="2"/>
            <w:tcBorders/>
            <w:shd w:fill="FFFFFF" w:val="clear"/>
            <w:vAlign w:val="center"/>
          </w:tcPr>
          <w:p>
            <w:pPr>
              <w:pStyle w:val="TableContents"/>
              <w:bidi w:val="0"/>
              <w:spacing w:before="0" w:after="283"/>
              <w:jc w:val="left"/>
              <w:rPr/>
            </w:pPr>
            <w:r>
              <w:rPr/>
              <w:t>Form of Transfer</w:t>
            </w:r>
          </w:p>
        </w:tc>
        <w:tc>
          <w:tcPr>
            <w:tcW w:w="275" w:type="dxa"/>
            <w:tcBorders/>
            <w:shd w:fill="FFFFFF" w:val="clear"/>
            <w:vAlign w:val="center"/>
          </w:tcPr>
          <w:p>
            <w:pPr>
              <w:pStyle w:val="TableContents"/>
              <w:bidi w:val="0"/>
              <w:spacing w:before="0" w:after="283"/>
              <w:jc w:val="center"/>
              <w:rPr/>
            </w:pPr>
            <w:r>
              <w:rPr/>
              <w:t>19</w:t>
            </w:r>
          </w:p>
        </w:tc>
      </w:tr>
      <w:tr>
        <w:trPr/>
        <w:tc>
          <w:tcPr>
            <w:tcW w:w="8089" w:type="dxa"/>
            <w:gridSpan w:val="2"/>
            <w:tcBorders/>
            <w:shd w:fill="CCEEFF" w:val="clear"/>
            <w:vAlign w:val="center"/>
          </w:tcPr>
          <w:p>
            <w:pPr>
              <w:pStyle w:val="TableContents"/>
              <w:bidi w:val="0"/>
              <w:spacing w:before="0" w:after="283"/>
              <w:jc w:val="left"/>
              <w:rPr/>
            </w:pPr>
            <w:r>
              <w:rPr/>
              <w:t>Power to refuse registration for Shares not listed on a Designated Stock Exchange</w:t>
            </w:r>
          </w:p>
        </w:tc>
        <w:tc>
          <w:tcPr>
            <w:tcW w:w="275" w:type="dxa"/>
            <w:tcBorders/>
            <w:shd w:fill="CCEEFF" w:val="clear"/>
            <w:vAlign w:val="center"/>
          </w:tcPr>
          <w:p>
            <w:pPr>
              <w:pStyle w:val="TableContents"/>
              <w:bidi w:val="0"/>
              <w:spacing w:before="0" w:after="283"/>
              <w:jc w:val="center"/>
              <w:rPr/>
            </w:pPr>
            <w:r>
              <w:rPr/>
              <w:t>19</w:t>
            </w:r>
          </w:p>
        </w:tc>
      </w:tr>
      <w:tr>
        <w:trPr/>
        <w:tc>
          <w:tcPr>
            <w:tcW w:w="8089" w:type="dxa"/>
            <w:gridSpan w:val="2"/>
            <w:tcBorders/>
            <w:shd w:fill="FFFFFF" w:val="clear"/>
            <w:vAlign w:val="center"/>
          </w:tcPr>
          <w:p>
            <w:pPr>
              <w:pStyle w:val="TableContents"/>
              <w:bidi w:val="0"/>
              <w:spacing w:before="0" w:after="283"/>
              <w:jc w:val="left"/>
              <w:rPr/>
            </w:pPr>
            <w:r>
              <w:rPr/>
              <w:t>Suspension of transfers</w:t>
            </w:r>
          </w:p>
        </w:tc>
        <w:tc>
          <w:tcPr>
            <w:tcW w:w="275" w:type="dxa"/>
            <w:tcBorders/>
            <w:shd w:fill="FFFFFF" w:val="clear"/>
            <w:vAlign w:val="center"/>
          </w:tcPr>
          <w:p>
            <w:pPr>
              <w:pStyle w:val="TableContents"/>
              <w:bidi w:val="0"/>
              <w:spacing w:before="0" w:after="283"/>
              <w:jc w:val="center"/>
              <w:rPr/>
            </w:pPr>
            <w:r>
              <w:rPr/>
              <w:t>20</w:t>
            </w:r>
          </w:p>
        </w:tc>
      </w:tr>
      <w:tr>
        <w:trPr/>
        <w:tc>
          <w:tcPr>
            <w:tcW w:w="8089" w:type="dxa"/>
            <w:gridSpan w:val="2"/>
            <w:tcBorders/>
            <w:shd w:fill="CCEEFF" w:val="clear"/>
            <w:vAlign w:val="center"/>
          </w:tcPr>
          <w:p>
            <w:pPr>
              <w:pStyle w:val="TableContents"/>
              <w:bidi w:val="0"/>
              <w:spacing w:before="0" w:after="283"/>
              <w:jc w:val="left"/>
              <w:rPr/>
            </w:pPr>
            <w:r>
              <w:rPr/>
              <w:t>Company may retain instrument of transfer</w:t>
            </w:r>
          </w:p>
        </w:tc>
        <w:tc>
          <w:tcPr>
            <w:tcW w:w="275" w:type="dxa"/>
            <w:tcBorders/>
            <w:shd w:fill="CCEEFF" w:val="clear"/>
            <w:vAlign w:val="center"/>
          </w:tcPr>
          <w:p>
            <w:pPr>
              <w:pStyle w:val="TableContents"/>
              <w:bidi w:val="0"/>
              <w:spacing w:before="0" w:after="283"/>
              <w:jc w:val="center"/>
              <w:rPr/>
            </w:pPr>
            <w:r>
              <w:rPr/>
              <w:t>20</w:t>
            </w:r>
          </w:p>
        </w:tc>
      </w:tr>
      <w:tr>
        <w:trPr/>
        <w:tc>
          <w:tcPr>
            <w:tcW w:w="8089" w:type="dxa"/>
            <w:gridSpan w:val="2"/>
            <w:tcBorders/>
            <w:shd w:fill="FFFFFF" w:val="clear"/>
            <w:vAlign w:val="center"/>
          </w:tcPr>
          <w:p>
            <w:pPr>
              <w:pStyle w:val="TableContents"/>
              <w:bidi w:val="0"/>
              <w:spacing w:before="0" w:after="283"/>
              <w:jc w:val="left"/>
              <w:rPr/>
            </w:pPr>
            <w:r>
              <w:rPr/>
              <w:t>Notice of refusal to register</w:t>
            </w:r>
          </w:p>
        </w:tc>
        <w:tc>
          <w:tcPr>
            <w:tcW w:w="275" w:type="dxa"/>
            <w:tcBorders/>
            <w:shd w:fill="FFFFFF" w:val="clear"/>
            <w:vAlign w:val="center"/>
          </w:tcPr>
          <w:p>
            <w:pPr>
              <w:pStyle w:val="TableContents"/>
              <w:bidi w:val="0"/>
              <w:spacing w:before="0" w:after="283"/>
              <w:jc w:val="center"/>
              <w:rPr/>
            </w:pPr>
            <w:r>
              <w:rPr/>
              <w:t>20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283"/>
        <w:jc w:val="left"/>
        <w:rPr/>
      </w:pPr>
      <w:r>
        <w:rPr/>
        <w:t> </w:t>
      </w:r>
    </w:p>
    <w:tbl>
      <w:tblPr>
        <w:tblW w:w="7344" w:type="dxa"/>
        <w:jc w:val="left"/>
        <w:tblInd w:w="0" w:type="dxa"/>
        <w:tblLayout w:type="fixed"/>
        <w:tblCellMar>
          <w:top w:w="0" w:type="dxa"/>
          <w:left w:w="0" w:type="dxa"/>
          <w:bottom w:w="0" w:type="dxa"/>
          <w:right w:w="0" w:type="dxa"/>
        </w:tblCellMar>
      </w:tblPr>
      <w:tblGrid>
        <w:gridCol w:w="432"/>
        <w:gridCol w:w="6637"/>
        <w:gridCol w:w="275"/>
      </w:tblGrid>
      <w:tr>
        <w:trPr/>
        <w:tc>
          <w:tcPr>
            <w:tcW w:w="432" w:type="dxa"/>
            <w:tcBorders/>
            <w:shd w:fill="CCEEFF" w:val="clear"/>
            <w:vAlign w:val="center"/>
          </w:tcPr>
          <w:p>
            <w:pPr>
              <w:pStyle w:val="TableContents"/>
              <w:bidi w:val="0"/>
              <w:spacing w:before="0" w:after="283"/>
              <w:jc w:val="left"/>
              <w:rPr>
                <w:b/>
              </w:rPr>
            </w:pPr>
            <w:r>
              <w:rPr>
                <w:b/>
              </w:rPr>
              <w:t>7</w:t>
            </w:r>
          </w:p>
        </w:tc>
        <w:tc>
          <w:tcPr>
            <w:tcW w:w="6637" w:type="dxa"/>
            <w:tcBorders/>
            <w:shd w:fill="CCEEFF" w:val="clear"/>
            <w:vAlign w:val="center"/>
          </w:tcPr>
          <w:p>
            <w:pPr>
              <w:pStyle w:val="TableContents"/>
              <w:bidi w:val="0"/>
              <w:spacing w:before="0" w:after="283"/>
              <w:jc w:val="left"/>
              <w:rPr>
                <w:b/>
              </w:rPr>
            </w:pPr>
            <w:r>
              <w:rPr>
                <w:b/>
              </w:rPr>
              <w:t>Transmission of Shares</w:t>
            </w:r>
          </w:p>
        </w:tc>
        <w:tc>
          <w:tcPr>
            <w:tcW w:w="275" w:type="dxa"/>
            <w:tcBorders/>
            <w:shd w:fill="CCEEFF" w:val="clear"/>
            <w:vAlign w:val="center"/>
          </w:tcPr>
          <w:p>
            <w:pPr>
              <w:pStyle w:val="TableContents"/>
              <w:bidi w:val="0"/>
              <w:spacing w:before="0" w:after="283"/>
              <w:jc w:val="center"/>
              <w:rPr>
                <w:b/>
              </w:rPr>
            </w:pPr>
            <w:r>
              <w:rPr>
                <w:b/>
              </w:rPr>
              <w:t>20</w:t>
            </w:r>
          </w:p>
        </w:tc>
      </w:tr>
      <w:tr>
        <w:trPr/>
        <w:tc>
          <w:tcPr>
            <w:tcW w:w="7069" w:type="dxa"/>
            <w:gridSpan w:val="2"/>
            <w:tcBorders/>
            <w:shd w:fill="FFFFFF" w:val="clear"/>
            <w:vAlign w:val="center"/>
          </w:tcPr>
          <w:p>
            <w:pPr>
              <w:pStyle w:val="TableContents"/>
              <w:bidi w:val="0"/>
              <w:spacing w:before="0" w:after="283"/>
              <w:jc w:val="left"/>
              <w:rPr/>
            </w:pPr>
            <w:r>
              <w:rPr/>
              <w:t>Persons entitled on death of a Member</w:t>
            </w:r>
          </w:p>
        </w:tc>
        <w:tc>
          <w:tcPr>
            <w:tcW w:w="275" w:type="dxa"/>
            <w:tcBorders/>
            <w:shd w:fill="FFFFFF" w:val="clear"/>
            <w:vAlign w:val="center"/>
          </w:tcPr>
          <w:p>
            <w:pPr>
              <w:pStyle w:val="TableContents"/>
              <w:bidi w:val="0"/>
              <w:spacing w:before="0" w:after="283"/>
              <w:jc w:val="center"/>
              <w:rPr/>
            </w:pPr>
            <w:r>
              <w:rPr/>
              <w:t>20</w:t>
            </w:r>
          </w:p>
        </w:tc>
      </w:tr>
      <w:tr>
        <w:trPr/>
        <w:tc>
          <w:tcPr>
            <w:tcW w:w="7069" w:type="dxa"/>
            <w:gridSpan w:val="2"/>
            <w:tcBorders/>
            <w:shd w:fill="CCEEFF" w:val="clear"/>
            <w:vAlign w:val="center"/>
          </w:tcPr>
          <w:p>
            <w:pPr>
              <w:pStyle w:val="TableContents"/>
              <w:bidi w:val="0"/>
              <w:spacing w:before="0" w:after="283"/>
              <w:jc w:val="left"/>
              <w:rPr/>
            </w:pPr>
            <w:r>
              <w:rPr/>
              <w:t>Registration of transfer of a Share following death or bankruptcy</w:t>
            </w:r>
          </w:p>
        </w:tc>
        <w:tc>
          <w:tcPr>
            <w:tcW w:w="275" w:type="dxa"/>
            <w:tcBorders/>
            <w:shd w:fill="CCEEFF" w:val="clear"/>
            <w:vAlign w:val="center"/>
          </w:tcPr>
          <w:p>
            <w:pPr>
              <w:pStyle w:val="TableContents"/>
              <w:bidi w:val="0"/>
              <w:spacing w:before="0" w:after="283"/>
              <w:jc w:val="center"/>
              <w:rPr/>
            </w:pPr>
            <w:r>
              <w:rPr/>
              <w:t>21</w:t>
            </w:r>
          </w:p>
        </w:tc>
      </w:tr>
      <w:tr>
        <w:trPr/>
        <w:tc>
          <w:tcPr>
            <w:tcW w:w="7069" w:type="dxa"/>
            <w:gridSpan w:val="2"/>
            <w:tcBorders/>
            <w:shd w:fill="FFFFFF" w:val="clear"/>
            <w:vAlign w:val="center"/>
          </w:tcPr>
          <w:p>
            <w:pPr>
              <w:pStyle w:val="TableContents"/>
              <w:bidi w:val="0"/>
              <w:spacing w:before="0" w:after="283"/>
              <w:jc w:val="left"/>
              <w:rPr/>
            </w:pPr>
            <w:r>
              <w:rPr/>
              <w:t>Indemnity</w:t>
            </w:r>
          </w:p>
        </w:tc>
        <w:tc>
          <w:tcPr>
            <w:tcW w:w="275" w:type="dxa"/>
            <w:tcBorders/>
            <w:shd w:fill="FFFFFF" w:val="clear"/>
            <w:vAlign w:val="center"/>
          </w:tcPr>
          <w:p>
            <w:pPr>
              <w:pStyle w:val="TableContents"/>
              <w:bidi w:val="0"/>
              <w:spacing w:before="0" w:after="283"/>
              <w:jc w:val="center"/>
              <w:rPr/>
            </w:pPr>
            <w:r>
              <w:rPr/>
              <w:t>21</w:t>
            </w:r>
          </w:p>
        </w:tc>
      </w:tr>
      <w:tr>
        <w:trPr/>
        <w:tc>
          <w:tcPr>
            <w:tcW w:w="7069" w:type="dxa"/>
            <w:gridSpan w:val="2"/>
            <w:tcBorders/>
            <w:shd w:fill="CCEEFF" w:val="clear"/>
            <w:vAlign w:val="center"/>
          </w:tcPr>
          <w:p>
            <w:pPr>
              <w:pStyle w:val="TableContents"/>
              <w:bidi w:val="0"/>
              <w:spacing w:before="0" w:after="283"/>
              <w:jc w:val="left"/>
              <w:rPr/>
            </w:pPr>
            <w:r>
              <w:rPr/>
              <w:t>Rights of person entitled to a Share following death or bankruptcy</w:t>
            </w:r>
          </w:p>
        </w:tc>
        <w:tc>
          <w:tcPr>
            <w:tcW w:w="275" w:type="dxa"/>
            <w:tcBorders/>
            <w:shd w:fill="CCEEFF" w:val="clear"/>
            <w:vAlign w:val="center"/>
          </w:tcPr>
          <w:p>
            <w:pPr>
              <w:pStyle w:val="TableContents"/>
              <w:bidi w:val="0"/>
              <w:spacing w:before="0" w:after="283"/>
              <w:jc w:val="center"/>
              <w:rPr/>
            </w:pPr>
            <w:r>
              <w:rPr/>
              <w:t>21</w:t>
            </w:r>
          </w:p>
        </w:tc>
      </w:tr>
      <w:tr>
        <w:trPr/>
        <w:tc>
          <w:tcPr>
            <w:tcW w:w="706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8</w:t>
            </w:r>
          </w:p>
        </w:tc>
        <w:tc>
          <w:tcPr>
            <w:tcW w:w="6637" w:type="dxa"/>
            <w:tcBorders/>
            <w:shd w:fill="CCEEFF" w:val="clear"/>
            <w:vAlign w:val="center"/>
          </w:tcPr>
          <w:p>
            <w:pPr>
              <w:pStyle w:val="TableContents"/>
              <w:bidi w:val="0"/>
              <w:spacing w:before="0" w:after="283"/>
              <w:jc w:val="left"/>
              <w:rPr>
                <w:b/>
              </w:rPr>
            </w:pPr>
            <w:r>
              <w:rPr>
                <w:b/>
              </w:rPr>
              <w:t>Alteration of capital</w:t>
            </w:r>
          </w:p>
        </w:tc>
        <w:tc>
          <w:tcPr>
            <w:tcW w:w="275" w:type="dxa"/>
            <w:tcBorders/>
            <w:shd w:fill="CCEEFF" w:val="clear"/>
            <w:vAlign w:val="center"/>
          </w:tcPr>
          <w:p>
            <w:pPr>
              <w:pStyle w:val="TableContents"/>
              <w:bidi w:val="0"/>
              <w:spacing w:before="0" w:after="283"/>
              <w:jc w:val="center"/>
              <w:rPr>
                <w:b/>
              </w:rPr>
            </w:pPr>
            <w:r>
              <w:rPr>
                <w:b/>
              </w:rPr>
              <w:t>22</w:t>
            </w:r>
          </w:p>
        </w:tc>
      </w:tr>
      <w:tr>
        <w:trPr/>
        <w:tc>
          <w:tcPr>
            <w:tcW w:w="7069" w:type="dxa"/>
            <w:gridSpan w:val="2"/>
            <w:tcBorders/>
            <w:shd w:fill="FFFFFF" w:val="clear"/>
            <w:vAlign w:val="center"/>
          </w:tcPr>
          <w:p>
            <w:pPr>
              <w:pStyle w:val="TableContents"/>
              <w:bidi w:val="0"/>
              <w:spacing w:before="0" w:after="283"/>
              <w:jc w:val="left"/>
              <w:rPr/>
            </w:pPr>
            <w:r>
              <w:rPr/>
              <w:t>Increasing, consolidating, converting, dividing and cancelling share capital</w:t>
            </w:r>
          </w:p>
        </w:tc>
        <w:tc>
          <w:tcPr>
            <w:tcW w:w="275" w:type="dxa"/>
            <w:tcBorders/>
            <w:shd w:fill="FFFFFF" w:val="clear"/>
            <w:vAlign w:val="center"/>
          </w:tcPr>
          <w:p>
            <w:pPr>
              <w:pStyle w:val="TableContents"/>
              <w:bidi w:val="0"/>
              <w:spacing w:before="0" w:after="283"/>
              <w:jc w:val="center"/>
              <w:rPr/>
            </w:pPr>
            <w:r>
              <w:rPr/>
              <w:t>22</w:t>
            </w:r>
          </w:p>
        </w:tc>
      </w:tr>
      <w:tr>
        <w:trPr/>
        <w:tc>
          <w:tcPr>
            <w:tcW w:w="7069" w:type="dxa"/>
            <w:gridSpan w:val="2"/>
            <w:tcBorders/>
            <w:shd w:fill="CCEEFF" w:val="clear"/>
            <w:vAlign w:val="center"/>
          </w:tcPr>
          <w:p>
            <w:pPr>
              <w:pStyle w:val="TableContents"/>
              <w:bidi w:val="0"/>
              <w:spacing w:before="0" w:after="283"/>
              <w:jc w:val="left"/>
              <w:rPr/>
            </w:pPr>
            <w:r>
              <w:rPr/>
              <w:t>Dealing with fractions resulting from consolidation of Shares</w:t>
            </w:r>
          </w:p>
        </w:tc>
        <w:tc>
          <w:tcPr>
            <w:tcW w:w="275" w:type="dxa"/>
            <w:tcBorders/>
            <w:shd w:fill="CCEEFF" w:val="clear"/>
            <w:vAlign w:val="center"/>
          </w:tcPr>
          <w:p>
            <w:pPr>
              <w:pStyle w:val="TableContents"/>
              <w:bidi w:val="0"/>
              <w:spacing w:before="0" w:after="283"/>
              <w:jc w:val="center"/>
              <w:rPr/>
            </w:pPr>
            <w:r>
              <w:rPr/>
              <w:t>22</w:t>
            </w:r>
          </w:p>
        </w:tc>
      </w:tr>
      <w:tr>
        <w:trPr/>
        <w:tc>
          <w:tcPr>
            <w:tcW w:w="7069" w:type="dxa"/>
            <w:gridSpan w:val="2"/>
            <w:tcBorders/>
            <w:shd w:fill="FFFFFF" w:val="clear"/>
            <w:vAlign w:val="center"/>
          </w:tcPr>
          <w:p>
            <w:pPr>
              <w:pStyle w:val="TableContents"/>
              <w:bidi w:val="0"/>
              <w:spacing w:before="0" w:after="283"/>
              <w:jc w:val="left"/>
              <w:rPr/>
            </w:pPr>
            <w:r>
              <w:rPr/>
              <w:t>Reducing share capital</w:t>
            </w:r>
          </w:p>
        </w:tc>
        <w:tc>
          <w:tcPr>
            <w:tcW w:w="275" w:type="dxa"/>
            <w:tcBorders/>
            <w:shd w:fill="FFFFFF" w:val="clear"/>
            <w:vAlign w:val="center"/>
          </w:tcPr>
          <w:p>
            <w:pPr>
              <w:pStyle w:val="TableContents"/>
              <w:bidi w:val="0"/>
              <w:spacing w:before="0" w:after="283"/>
              <w:jc w:val="center"/>
              <w:rPr/>
            </w:pPr>
            <w:r>
              <w:rPr/>
              <w:t>23</w:t>
            </w:r>
          </w:p>
        </w:tc>
      </w:tr>
      <w:tr>
        <w:trPr/>
        <w:tc>
          <w:tcPr>
            <w:tcW w:w="706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32" w:type="dxa"/>
            <w:tcBorders/>
            <w:shd w:fill="FFFFFF" w:val="clear"/>
            <w:vAlign w:val="center"/>
          </w:tcPr>
          <w:p>
            <w:pPr>
              <w:pStyle w:val="TableContents"/>
              <w:bidi w:val="0"/>
              <w:spacing w:before="0" w:after="283"/>
              <w:jc w:val="left"/>
              <w:rPr>
                <w:b/>
              </w:rPr>
            </w:pPr>
            <w:r>
              <w:rPr>
                <w:b/>
              </w:rPr>
              <w:t>9</w:t>
            </w:r>
          </w:p>
        </w:tc>
        <w:tc>
          <w:tcPr>
            <w:tcW w:w="6637" w:type="dxa"/>
            <w:tcBorders/>
            <w:shd w:fill="FFFFFF" w:val="clear"/>
            <w:vAlign w:val="center"/>
          </w:tcPr>
          <w:p>
            <w:pPr>
              <w:pStyle w:val="TableContents"/>
              <w:bidi w:val="0"/>
              <w:spacing w:before="0" w:after="283"/>
              <w:jc w:val="left"/>
              <w:rPr>
                <w:b/>
              </w:rPr>
            </w:pPr>
            <w:r>
              <w:rPr>
                <w:b/>
              </w:rPr>
              <w:t>Redemption and purchase of own Shares</w:t>
            </w:r>
          </w:p>
        </w:tc>
        <w:tc>
          <w:tcPr>
            <w:tcW w:w="275" w:type="dxa"/>
            <w:tcBorders/>
            <w:shd w:fill="FFFFFF" w:val="clear"/>
            <w:vAlign w:val="center"/>
          </w:tcPr>
          <w:p>
            <w:pPr>
              <w:pStyle w:val="TableContents"/>
              <w:bidi w:val="0"/>
              <w:spacing w:before="0" w:after="283"/>
              <w:jc w:val="center"/>
              <w:rPr>
                <w:b/>
              </w:rPr>
            </w:pPr>
            <w:r>
              <w:rPr>
                <w:b/>
              </w:rPr>
              <w:t>23</w:t>
            </w:r>
          </w:p>
        </w:tc>
      </w:tr>
      <w:tr>
        <w:trPr/>
        <w:tc>
          <w:tcPr>
            <w:tcW w:w="7069" w:type="dxa"/>
            <w:gridSpan w:val="2"/>
            <w:tcBorders/>
            <w:shd w:fill="CCEEFF" w:val="clear"/>
            <w:vAlign w:val="center"/>
          </w:tcPr>
          <w:p>
            <w:pPr>
              <w:pStyle w:val="TableContents"/>
              <w:bidi w:val="0"/>
              <w:spacing w:before="0" w:after="283"/>
              <w:jc w:val="left"/>
              <w:rPr/>
            </w:pPr>
            <w:r>
              <w:rPr/>
              <w:t>Power to issue redeemable Shares and to purchase own Shares</w:t>
            </w:r>
          </w:p>
        </w:tc>
        <w:tc>
          <w:tcPr>
            <w:tcW w:w="275" w:type="dxa"/>
            <w:tcBorders/>
            <w:shd w:fill="CCEEFF" w:val="clear"/>
            <w:vAlign w:val="center"/>
          </w:tcPr>
          <w:p>
            <w:pPr>
              <w:pStyle w:val="TableContents"/>
              <w:bidi w:val="0"/>
              <w:spacing w:before="0" w:after="283"/>
              <w:jc w:val="center"/>
              <w:rPr/>
            </w:pPr>
            <w:r>
              <w:rPr/>
              <w:t>23</w:t>
            </w:r>
          </w:p>
        </w:tc>
      </w:tr>
      <w:tr>
        <w:trPr/>
        <w:tc>
          <w:tcPr>
            <w:tcW w:w="7069" w:type="dxa"/>
            <w:gridSpan w:val="2"/>
            <w:tcBorders/>
            <w:shd w:fill="FFFFFF" w:val="clear"/>
            <w:vAlign w:val="center"/>
          </w:tcPr>
          <w:p>
            <w:pPr>
              <w:pStyle w:val="TableContents"/>
              <w:bidi w:val="0"/>
              <w:spacing w:before="0" w:after="283"/>
              <w:jc w:val="left"/>
              <w:rPr/>
            </w:pPr>
            <w:r>
              <w:rPr/>
              <w:t>Power to pay for redemption or purchase in cash or in specie</w:t>
            </w:r>
          </w:p>
        </w:tc>
        <w:tc>
          <w:tcPr>
            <w:tcW w:w="275" w:type="dxa"/>
            <w:tcBorders/>
            <w:shd w:fill="FFFFFF" w:val="clear"/>
            <w:vAlign w:val="center"/>
          </w:tcPr>
          <w:p>
            <w:pPr>
              <w:pStyle w:val="TableContents"/>
              <w:bidi w:val="0"/>
              <w:spacing w:before="0" w:after="283"/>
              <w:jc w:val="center"/>
              <w:rPr/>
            </w:pPr>
            <w:r>
              <w:rPr/>
              <w:t>23</w:t>
            </w:r>
          </w:p>
        </w:tc>
      </w:tr>
      <w:tr>
        <w:trPr/>
        <w:tc>
          <w:tcPr>
            <w:tcW w:w="7069" w:type="dxa"/>
            <w:gridSpan w:val="2"/>
            <w:tcBorders/>
            <w:shd w:fill="CCEEFF" w:val="clear"/>
            <w:vAlign w:val="center"/>
          </w:tcPr>
          <w:p>
            <w:pPr>
              <w:pStyle w:val="TableContents"/>
              <w:bidi w:val="0"/>
              <w:spacing w:before="0" w:after="283"/>
              <w:jc w:val="left"/>
              <w:rPr/>
            </w:pPr>
            <w:r>
              <w:rPr/>
              <w:t>Effect of redemption or purchase of a Share</w:t>
            </w:r>
          </w:p>
        </w:tc>
        <w:tc>
          <w:tcPr>
            <w:tcW w:w="275" w:type="dxa"/>
            <w:tcBorders/>
            <w:shd w:fill="CCEEFF" w:val="clear"/>
            <w:vAlign w:val="center"/>
          </w:tcPr>
          <w:p>
            <w:pPr>
              <w:pStyle w:val="TableContents"/>
              <w:bidi w:val="0"/>
              <w:spacing w:before="0" w:after="283"/>
              <w:jc w:val="center"/>
              <w:rPr/>
            </w:pPr>
            <w:r>
              <w:rPr/>
              <w:t>23</w:t>
            </w:r>
          </w:p>
        </w:tc>
      </w:tr>
      <w:tr>
        <w:trPr/>
        <w:tc>
          <w:tcPr>
            <w:tcW w:w="7069" w:type="dxa"/>
            <w:gridSpan w:val="2"/>
            <w:tcBorders/>
            <w:shd w:fill="FFFFFF" w:val="clear"/>
            <w:vAlign w:val="center"/>
          </w:tcPr>
          <w:p>
            <w:pPr>
              <w:pStyle w:val="TableContents"/>
              <w:bidi w:val="0"/>
              <w:spacing w:before="0" w:after="283"/>
              <w:jc w:val="left"/>
              <w:rPr/>
            </w:pPr>
            <w:r>
              <w:rPr/>
              <w:t>Redemption of Series A Shares – Put Option</w:t>
            </w:r>
          </w:p>
        </w:tc>
        <w:tc>
          <w:tcPr>
            <w:tcW w:w="275" w:type="dxa"/>
            <w:tcBorders/>
            <w:shd w:fill="FFFFFF" w:val="clear"/>
            <w:vAlign w:val="center"/>
          </w:tcPr>
          <w:p>
            <w:pPr>
              <w:pStyle w:val="TableContents"/>
              <w:bidi w:val="0"/>
              <w:spacing w:before="0" w:after="283"/>
              <w:jc w:val="center"/>
              <w:rPr/>
            </w:pPr>
            <w:r>
              <w:rPr/>
              <w:t>24</w:t>
            </w:r>
          </w:p>
        </w:tc>
      </w:tr>
      <w:tr>
        <w:trPr/>
        <w:tc>
          <w:tcPr>
            <w:tcW w:w="7069" w:type="dxa"/>
            <w:gridSpan w:val="2"/>
            <w:tcBorders/>
            <w:shd w:fill="CCEEFF" w:val="clear"/>
            <w:vAlign w:val="center"/>
          </w:tcPr>
          <w:p>
            <w:pPr>
              <w:pStyle w:val="TableContents"/>
              <w:bidi w:val="0"/>
              <w:spacing w:before="0" w:after="283"/>
              <w:jc w:val="left"/>
              <w:rPr/>
            </w:pPr>
            <w:r>
              <w:rPr/>
              <w:t>Redemption of Series A Shares – Call Option</w:t>
            </w:r>
          </w:p>
        </w:tc>
        <w:tc>
          <w:tcPr>
            <w:tcW w:w="275" w:type="dxa"/>
            <w:tcBorders/>
            <w:shd w:fill="CCEEFF" w:val="clear"/>
            <w:vAlign w:val="center"/>
          </w:tcPr>
          <w:p>
            <w:pPr>
              <w:pStyle w:val="TableContents"/>
              <w:bidi w:val="0"/>
              <w:spacing w:before="0" w:after="283"/>
              <w:jc w:val="center"/>
              <w:rPr/>
            </w:pPr>
            <w:r>
              <w:rPr/>
              <w:t>25</w:t>
            </w:r>
          </w:p>
        </w:tc>
      </w:tr>
      <w:tr>
        <w:trPr/>
        <w:tc>
          <w:tcPr>
            <w:tcW w:w="706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10</w:t>
            </w:r>
          </w:p>
        </w:tc>
        <w:tc>
          <w:tcPr>
            <w:tcW w:w="6637" w:type="dxa"/>
            <w:tcBorders/>
            <w:shd w:fill="CCEEFF" w:val="clear"/>
            <w:vAlign w:val="center"/>
          </w:tcPr>
          <w:p>
            <w:pPr>
              <w:pStyle w:val="TableContents"/>
              <w:bidi w:val="0"/>
              <w:spacing w:before="0" w:after="283"/>
              <w:jc w:val="left"/>
              <w:rPr>
                <w:b/>
              </w:rPr>
            </w:pPr>
            <w:r>
              <w:rPr>
                <w:b/>
              </w:rPr>
              <w:t>Conversion of Series A Shares</w:t>
            </w:r>
          </w:p>
        </w:tc>
        <w:tc>
          <w:tcPr>
            <w:tcW w:w="275" w:type="dxa"/>
            <w:tcBorders/>
            <w:shd w:fill="CCEEFF" w:val="clear"/>
            <w:vAlign w:val="center"/>
          </w:tcPr>
          <w:p>
            <w:pPr>
              <w:pStyle w:val="TableContents"/>
              <w:bidi w:val="0"/>
              <w:spacing w:before="0" w:after="283"/>
              <w:jc w:val="center"/>
              <w:rPr>
                <w:b/>
              </w:rPr>
            </w:pPr>
            <w:r>
              <w:rPr>
                <w:b/>
              </w:rPr>
              <w:t>29</w:t>
            </w:r>
          </w:p>
        </w:tc>
      </w:tr>
      <w:tr>
        <w:trPr/>
        <w:tc>
          <w:tcPr>
            <w:tcW w:w="432" w:type="dxa"/>
            <w:tcBorders/>
            <w:shd w:fill="FFFFFF" w:val="clear"/>
            <w:vAlign w:val="center"/>
          </w:tcPr>
          <w:p>
            <w:pPr>
              <w:pStyle w:val="TableContents"/>
              <w:bidi w:val="0"/>
              <w:spacing w:before="0" w:after="283"/>
              <w:jc w:val="left"/>
              <w:rPr/>
            </w:pPr>
            <w:r>
              <w:rPr/>
              <w:t> </w:t>
            </w:r>
          </w:p>
        </w:tc>
        <w:tc>
          <w:tcPr>
            <w:tcW w:w="663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11</w:t>
            </w:r>
          </w:p>
        </w:tc>
        <w:tc>
          <w:tcPr>
            <w:tcW w:w="6637" w:type="dxa"/>
            <w:tcBorders/>
            <w:shd w:fill="CCEEFF" w:val="clear"/>
            <w:vAlign w:val="center"/>
          </w:tcPr>
          <w:p>
            <w:pPr>
              <w:pStyle w:val="TableContents"/>
              <w:bidi w:val="0"/>
              <w:spacing w:before="0" w:after="283"/>
              <w:jc w:val="left"/>
              <w:rPr>
                <w:b/>
              </w:rPr>
            </w:pPr>
            <w:r>
              <w:rPr>
                <w:b/>
              </w:rPr>
              <w:t>Adjustment of Conversion Price</w:t>
            </w:r>
          </w:p>
        </w:tc>
        <w:tc>
          <w:tcPr>
            <w:tcW w:w="275" w:type="dxa"/>
            <w:tcBorders/>
            <w:shd w:fill="CCEEFF" w:val="clear"/>
            <w:vAlign w:val="center"/>
          </w:tcPr>
          <w:p>
            <w:pPr>
              <w:pStyle w:val="TableContents"/>
              <w:bidi w:val="0"/>
              <w:spacing w:before="0" w:after="283"/>
              <w:jc w:val="center"/>
              <w:rPr>
                <w:b/>
              </w:rPr>
            </w:pPr>
            <w:r>
              <w:rPr>
                <w:b/>
              </w:rPr>
              <w:t>33</w:t>
            </w:r>
          </w:p>
        </w:tc>
      </w:tr>
      <w:tr>
        <w:trPr/>
        <w:tc>
          <w:tcPr>
            <w:tcW w:w="432" w:type="dxa"/>
            <w:tcBorders/>
            <w:shd w:fill="FFFFFF" w:val="clear"/>
            <w:vAlign w:val="center"/>
          </w:tcPr>
          <w:p>
            <w:pPr>
              <w:pStyle w:val="TableContents"/>
              <w:bidi w:val="0"/>
              <w:spacing w:before="0" w:after="283"/>
              <w:jc w:val="left"/>
              <w:rPr/>
            </w:pPr>
            <w:r>
              <w:rPr/>
              <w:t> </w:t>
            </w:r>
          </w:p>
        </w:tc>
        <w:tc>
          <w:tcPr>
            <w:tcW w:w="663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12</w:t>
            </w:r>
          </w:p>
        </w:tc>
        <w:tc>
          <w:tcPr>
            <w:tcW w:w="6637" w:type="dxa"/>
            <w:tcBorders/>
            <w:shd w:fill="CCEEFF" w:val="clear"/>
            <w:vAlign w:val="center"/>
          </w:tcPr>
          <w:p>
            <w:pPr>
              <w:pStyle w:val="TableContents"/>
              <w:bidi w:val="0"/>
              <w:spacing w:before="0" w:after="283"/>
              <w:jc w:val="left"/>
              <w:rPr>
                <w:b/>
              </w:rPr>
            </w:pPr>
            <w:r>
              <w:rPr>
                <w:b/>
              </w:rPr>
              <w:t>Meetings of Members</w:t>
            </w:r>
          </w:p>
        </w:tc>
        <w:tc>
          <w:tcPr>
            <w:tcW w:w="275" w:type="dxa"/>
            <w:tcBorders/>
            <w:shd w:fill="CCEEFF" w:val="clear"/>
            <w:vAlign w:val="center"/>
          </w:tcPr>
          <w:p>
            <w:pPr>
              <w:pStyle w:val="TableContents"/>
              <w:bidi w:val="0"/>
              <w:spacing w:before="0" w:after="283"/>
              <w:jc w:val="center"/>
              <w:rPr>
                <w:b/>
              </w:rPr>
            </w:pPr>
            <w:r>
              <w:rPr>
                <w:b/>
              </w:rPr>
              <w:t>40</w:t>
            </w:r>
          </w:p>
        </w:tc>
      </w:tr>
      <w:tr>
        <w:trPr/>
        <w:tc>
          <w:tcPr>
            <w:tcW w:w="7069" w:type="dxa"/>
            <w:gridSpan w:val="2"/>
            <w:tcBorders/>
            <w:shd w:fill="FFFFFF" w:val="clear"/>
            <w:vAlign w:val="center"/>
          </w:tcPr>
          <w:p>
            <w:pPr>
              <w:pStyle w:val="TableContents"/>
              <w:bidi w:val="0"/>
              <w:spacing w:before="0" w:after="283"/>
              <w:jc w:val="left"/>
              <w:rPr/>
            </w:pPr>
            <w:r>
              <w:rPr/>
              <w:t>Annual and extraordinary general meetings</w:t>
            </w:r>
          </w:p>
        </w:tc>
        <w:tc>
          <w:tcPr>
            <w:tcW w:w="275" w:type="dxa"/>
            <w:tcBorders/>
            <w:shd w:fill="FFFFFF" w:val="clear"/>
            <w:vAlign w:val="center"/>
          </w:tcPr>
          <w:p>
            <w:pPr>
              <w:pStyle w:val="TableContents"/>
              <w:bidi w:val="0"/>
              <w:spacing w:before="0" w:after="283"/>
              <w:jc w:val="center"/>
              <w:rPr/>
            </w:pPr>
            <w:r>
              <w:rPr/>
              <w:t>40</w:t>
            </w:r>
          </w:p>
        </w:tc>
      </w:tr>
      <w:tr>
        <w:trPr/>
        <w:tc>
          <w:tcPr>
            <w:tcW w:w="7069" w:type="dxa"/>
            <w:gridSpan w:val="2"/>
            <w:tcBorders/>
            <w:shd w:fill="CCEEFF" w:val="clear"/>
            <w:vAlign w:val="center"/>
          </w:tcPr>
          <w:p>
            <w:pPr>
              <w:pStyle w:val="TableContents"/>
              <w:bidi w:val="0"/>
              <w:spacing w:before="0" w:after="283"/>
              <w:jc w:val="left"/>
              <w:rPr/>
            </w:pPr>
            <w:r>
              <w:rPr/>
              <w:t>Power to call meetings</w:t>
            </w:r>
          </w:p>
        </w:tc>
        <w:tc>
          <w:tcPr>
            <w:tcW w:w="275" w:type="dxa"/>
            <w:tcBorders/>
            <w:shd w:fill="CCEEFF" w:val="clear"/>
            <w:vAlign w:val="center"/>
          </w:tcPr>
          <w:p>
            <w:pPr>
              <w:pStyle w:val="TableContents"/>
              <w:bidi w:val="0"/>
              <w:spacing w:before="0" w:after="283"/>
              <w:jc w:val="center"/>
              <w:rPr/>
            </w:pPr>
            <w:r>
              <w:rPr/>
              <w:t>40</w:t>
            </w:r>
          </w:p>
        </w:tc>
      </w:tr>
      <w:tr>
        <w:trPr/>
        <w:tc>
          <w:tcPr>
            <w:tcW w:w="7069" w:type="dxa"/>
            <w:gridSpan w:val="2"/>
            <w:tcBorders/>
            <w:shd w:fill="FFFFFF" w:val="clear"/>
            <w:vAlign w:val="center"/>
          </w:tcPr>
          <w:p>
            <w:pPr>
              <w:pStyle w:val="TableContents"/>
              <w:bidi w:val="0"/>
              <w:spacing w:before="0" w:after="283"/>
              <w:jc w:val="left"/>
              <w:rPr/>
            </w:pPr>
            <w:r>
              <w:rPr/>
              <w:t>Content of notice</w:t>
            </w:r>
          </w:p>
        </w:tc>
        <w:tc>
          <w:tcPr>
            <w:tcW w:w="275" w:type="dxa"/>
            <w:tcBorders/>
            <w:shd w:fill="FFFFFF" w:val="clear"/>
            <w:vAlign w:val="center"/>
          </w:tcPr>
          <w:p>
            <w:pPr>
              <w:pStyle w:val="TableContents"/>
              <w:bidi w:val="0"/>
              <w:spacing w:before="0" w:after="283"/>
              <w:jc w:val="center"/>
              <w:rPr/>
            </w:pPr>
            <w:r>
              <w:rPr/>
              <w:t>41</w:t>
            </w:r>
          </w:p>
        </w:tc>
      </w:tr>
      <w:tr>
        <w:trPr/>
        <w:tc>
          <w:tcPr>
            <w:tcW w:w="7069" w:type="dxa"/>
            <w:gridSpan w:val="2"/>
            <w:tcBorders/>
            <w:shd w:fill="CCEEFF" w:val="clear"/>
            <w:vAlign w:val="center"/>
          </w:tcPr>
          <w:p>
            <w:pPr>
              <w:pStyle w:val="TableContents"/>
              <w:bidi w:val="0"/>
              <w:spacing w:before="0" w:after="283"/>
              <w:jc w:val="left"/>
              <w:rPr/>
            </w:pPr>
            <w:r>
              <w:rPr/>
              <w:t>Period of notice</w:t>
            </w:r>
          </w:p>
        </w:tc>
        <w:tc>
          <w:tcPr>
            <w:tcW w:w="275" w:type="dxa"/>
            <w:tcBorders/>
            <w:shd w:fill="CCEEFF" w:val="clear"/>
            <w:vAlign w:val="center"/>
          </w:tcPr>
          <w:p>
            <w:pPr>
              <w:pStyle w:val="TableContents"/>
              <w:bidi w:val="0"/>
              <w:spacing w:before="0" w:after="283"/>
              <w:jc w:val="center"/>
              <w:rPr/>
            </w:pPr>
            <w:r>
              <w:rPr/>
              <w:t>41</w:t>
            </w:r>
          </w:p>
        </w:tc>
      </w:tr>
      <w:tr>
        <w:trPr/>
        <w:tc>
          <w:tcPr>
            <w:tcW w:w="7069" w:type="dxa"/>
            <w:gridSpan w:val="2"/>
            <w:tcBorders/>
            <w:shd w:fill="FFFFFF" w:val="clear"/>
            <w:vAlign w:val="center"/>
          </w:tcPr>
          <w:p>
            <w:pPr>
              <w:pStyle w:val="TableContents"/>
              <w:bidi w:val="0"/>
              <w:spacing w:before="0" w:after="283"/>
              <w:jc w:val="left"/>
              <w:rPr/>
            </w:pPr>
            <w:r>
              <w:rPr/>
              <w:t>Persons entitled to receive notice</w:t>
            </w:r>
          </w:p>
        </w:tc>
        <w:tc>
          <w:tcPr>
            <w:tcW w:w="275" w:type="dxa"/>
            <w:tcBorders/>
            <w:shd w:fill="FFFFFF" w:val="clear"/>
            <w:vAlign w:val="center"/>
          </w:tcPr>
          <w:p>
            <w:pPr>
              <w:pStyle w:val="TableContents"/>
              <w:bidi w:val="0"/>
              <w:spacing w:before="0" w:after="283"/>
              <w:jc w:val="center"/>
              <w:rPr/>
            </w:pPr>
            <w:r>
              <w:rPr/>
              <w:t>42</w:t>
            </w:r>
          </w:p>
        </w:tc>
      </w:tr>
      <w:tr>
        <w:trPr/>
        <w:tc>
          <w:tcPr>
            <w:tcW w:w="7069" w:type="dxa"/>
            <w:gridSpan w:val="2"/>
            <w:tcBorders/>
            <w:shd w:fill="CCEEFF" w:val="clear"/>
            <w:vAlign w:val="center"/>
          </w:tcPr>
          <w:p>
            <w:pPr>
              <w:pStyle w:val="TableContents"/>
              <w:bidi w:val="0"/>
              <w:spacing w:before="0" w:after="283"/>
              <w:jc w:val="left"/>
              <w:rPr/>
            </w:pPr>
            <w:r>
              <w:rPr/>
              <w:t>Accidental omission to give notice or non-receipt of notice</w:t>
            </w:r>
          </w:p>
        </w:tc>
        <w:tc>
          <w:tcPr>
            <w:tcW w:w="275" w:type="dxa"/>
            <w:tcBorders/>
            <w:shd w:fill="CCEEFF" w:val="clear"/>
            <w:vAlign w:val="center"/>
          </w:tcPr>
          <w:p>
            <w:pPr>
              <w:pStyle w:val="TableContents"/>
              <w:bidi w:val="0"/>
              <w:spacing w:before="0" w:after="283"/>
              <w:jc w:val="center"/>
              <w:rPr/>
            </w:pPr>
            <w:r>
              <w:rPr/>
              <w:t>42</w:t>
            </w:r>
          </w:p>
        </w:tc>
      </w:tr>
      <w:tr>
        <w:trPr/>
        <w:tc>
          <w:tcPr>
            <w:tcW w:w="706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13</w:t>
            </w:r>
          </w:p>
        </w:tc>
        <w:tc>
          <w:tcPr>
            <w:tcW w:w="6637" w:type="dxa"/>
            <w:tcBorders/>
            <w:shd w:fill="CCEEFF" w:val="clear"/>
            <w:vAlign w:val="center"/>
          </w:tcPr>
          <w:p>
            <w:pPr>
              <w:pStyle w:val="TableContents"/>
              <w:bidi w:val="0"/>
              <w:spacing w:before="0" w:after="283"/>
              <w:jc w:val="left"/>
              <w:rPr>
                <w:b/>
              </w:rPr>
            </w:pPr>
            <w:r>
              <w:rPr>
                <w:b/>
              </w:rPr>
              <w:t>Proceedings at meetings of Members</w:t>
            </w:r>
          </w:p>
        </w:tc>
        <w:tc>
          <w:tcPr>
            <w:tcW w:w="275" w:type="dxa"/>
            <w:tcBorders/>
            <w:shd w:fill="CCEEFF" w:val="clear"/>
            <w:vAlign w:val="center"/>
          </w:tcPr>
          <w:p>
            <w:pPr>
              <w:pStyle w:val="TableContents"/>
              <w:bidi w:val="0"/>
              <w:spacing w:before="0" w:after="283"/>
              <w:jc w:val="center"/>
              <w:rPr>
                <w:b/>
              </w:rPr>
            </w:pPr>
            <w:r>
              <w:rPr>
                <w:b/>
              </w:rPr>
              <w:t>42</w:t>
            </w:r>
          </w:p>
        </w:tc>
      </w:tr>
      <w:tr>
        <w:trPr/>
        <w:tc>
          <w:tcPr>
            <w:tcW w:w="7069" w:type="dxa"/>
            <w:gridSpan w:val="2"/>
            <w:tcBorders/>
            <w:shd w:fill="FFFFFF" w:val="clear"/>
            <w:vAlign w:val="center"/>
          </w:tcPr>
          <w:p>
            <w:pPr>
              <w:pStyle w:val="TableContents"/>
              <w:bidi w:val="0"/>
              <w:spacing w:before="0" w:after="283"/>
              <w:jc w:val="left"/>
              <w:rPr/>
            </w:pPr>
            <w:r>
              <w:rPr/>
              <w:t>Quorum</w:t>
            </w:r>
          </w:p>
        </w:tc>
        <w:tc>
          <w:tcPr>
            <w:tcW w:w="275" w:type="dxa"/>
            <w:tcBorders/>
            <w:shd w:fill="FFFFFF" w:val="clear"/>
            <w:vAlign w:val="center"/>
          </w:tcPr>
          <w:p>
            <w:pPr>
              <w:pStyle w:val="TableContents"/>
              <w:bidi w:val="0"/>
              <w:spacing w:before="0" w:after="283"/>
              <w:jc w:val="center"/>
              <w:rPr/>
            </w:pPr>
            <w:r>
              <w:rPr/>
              <w:t>42</w:t>
            </w:r>
          </w:p>
        </w:tc>
      </w:tr>
      <w:tr>
        <w:trPr/>
        <w:tc>
          <w:tcPr>
            <w:tcW w:w="7069" w:type="dxa"/>
            <w:gridSpan w:val="2"/>
            <w:tcBorders/>
            <w:shd w:fill="CCEEFF" w:val="clear"/>
            <w:vAlign w:val="center"/>
          </w:tcPr>
          <w:p>
            <w:pPr>
              <w:pStyle w:val="TableContents"/>
              <w:bidi w:val="0"/>
              <w:spacing w:before="0" w:after="283"/>
              <w:jc w:val="left"/>
              <w:rPr/>
            </w:pPr>
            <w:r>
              <w:rPr/>
              <w:t>Lack of quorum</w:t>
            </w:r>
          </w:p>
        </w:tc>
        <w:tc>
          <w:tcPr>
            <w:tcW w:w="275" w:type="dxa"/>
            <w:tcBorders/>
            <w:shd w:fill="CCEEFF" w:val="clear"/>
            <w:vAlign w:val="center"/>
          </w:tcPr>
          <w:p>
            <w:pPr>
              <w:pStyle w:val="TableContents"/>
              <w:bidi w:val="0"/>
              <w:spacing w:before="0" w:after="283"/>
              <w:jc w:val="center"/>
              <w:rPr/>
            </w:pPr>
            <w:r>
              <w:rPr/>
              <w:t>43</w:t>
            </w:r>
          </w:p>
        </w:tc>
      </w:tr>
      <w:tr>
        <w:trPr/>
        <w:tc>
          <w:tcPr>
            <w:tcW w:w="7069" w:type="dxa"/>
            <w:gridSpan w:val="2"/>
            <w:tcBorders/>
            <w:shd w:fill="FFFFFF" w:val="clear"/>
            <w:vAlign w:val="center"/>
          </w:tcPr>
          <w:p>
            <w:pPr>
              <w:pStyle w:val="TableContents"/>
              <w:bidi w:val="0"/>
              <w:spacing w:before="0" w:after="283"/>
              <w:jc w:val="left"/>
              <w:rPr/>
            </w:pPr>
            <w:r>
              <w:rPr/>
              <w:t>Chairman</w:t>
            </w:r>
          </w:p>
        </w:tc>
        <w:tc>
          <w:tcPr>
            <w:tcW w:w="275" w:type="dxa"/>
            <w:tcBorders/>
            <w:shd w:fill="FFFFFF" w:val="clear"/>
            <w:vAlign w:val="center"/>
          </w:tcPr>
          <w:p>
            <w:pPr>
              <w:pStyle w:val="TableContents"/>
              <w:bidi w:val="0"/>
              <w:spacing w:before="0" w:after="283"/>
              <w:jc w:val="center"/>
              <w:rPr/>
            </w:pPr>
            <w:r>
              <w:rPr/>
              <w:t>43</w:t>
            </w:r>
          </w:p>
        </w:tc>
      </w:tr>
      <w:tr>
        <w:trPr/>
        <w:tc>
          <w:tcPr>
            <w:tcW w:w="7069" w:type="dxa"/>
            <w:gridSpan w:val="2"/>
            <w:tcBorders/>
            <w:shd w:fill="CCEEFF" w:val="clear"/>
            <w:vAlign w:val="center"/>
          </w:tcPr>
          <w:p>
            <w:pPr>
              <w:pStyle w:val="TableContents"/>
              <w:bidi w:val="0"/>
              <w:spacing w:before="0" w:after="283"/>
              <w:jc w:val="left"/>
              <w:rPr/>
            </w:pPr>
            <w:r>
              <w:rPr/>
              <w:t>Right of a Director to attend and speak</w:t>
            </w:r>
          </w:p>
        </w:tc>
        <w:tc>
          <w:tcPr>
            <w:tcW w:w="275" w:type="dxa"/>
            <w:tcBorders/>
            <w:shd w:fill="CCEEFF" w:val="clear"/>
            <w:vAlign w:val="center"/>
          </w:tcPr>
          <w:p>
            <w:pPr>
              <w:pStyle w:val="TableContents"/>
              <w:bidi w:val="0"/>
              <w:spacing w:before="0" w:after="283"/>
              <w:jc w:val="center"/>
              <w:rPr/>
            </w:pPr>
            <w:r>
              <w:rPr/>
              <w:t>43</w:t>
            </w:r>
          </w:p>
        </w:tc>
      </w:tr>
      <w:tr>
        <w:trPr/>
        <w:tc>
          <w:tcPr>
            <w:tcW w:w="7069" w:type="dxa"/>
            <w:gridSpan w:val="2"/>
            <w:tcBorders/>
            <w:shd w:fill="FFFFFF" w:val="clear"/>
            <w:vAlign w:val="center"/>
          </w:tcPr>
          <w:p>
            <w:pPr>
              <w:pStyle w:val="TableContents"/>
              <w:bidi w:val="0"/>
              <w:spacing w:before="0" w:after="283"/>
              <w:jc w:val="left"/>
              <w:rPr/>
            </w:pPr>
            <w:r>
              <w:rPr/>
              <w:t>Accommodation of Members at meeting</w:t>
            </w:r>
          </w:p>
        </w:tc>
        <w:tc>
          <w:tcPr>
            <w:tcW w:w="275" w:type="dxa"/>
            <w:tcBorders/>
            <w:shd w:fill="FFFFFF" w:val="clear"/>
            <w:vAlign w:val="center"/>
          </w:tcPr>
          <w:p>
            <w:pPr>
              <w:pStyle w:val="TableContents"/>
              <w:bidi w:val="0"/>
              <w:spacing w:before="0" w:after="283"/>
              <w:jc w:val="center"/>
              <w:rPr/>
            </w:pPr>
            <w:r>
              <w:rPr/>
              <w:t>43</w:t>
            </w:r>
          </w:p>
        </w:tc>
      </w:tr>
      <w:tr>
        <w:trPr/>
        <w:tc>
          <w:tcPr>
            <w:tcW w:w="7069" w:type="dxa"/>
            <w:gridSpan w:val="2"/>
            <w:tcBorders/>
            <w:shd w:fill="CCEEFF" w:val="clear"/>
            <w:vAlign w:val="center"/>
          </w:tcPr>
          <w:p>
            <w:pPr>
              <w:pStyle w:val="TableContents"/>
              <w:bidi w:val="0"/>
              <w:spacing w:before="0" w:after="283"/>
              <w:jc w:val="left"/>
              <w:rPr/>
            </w:pPr>
            <w:r>
              <w:rPr/>
              <w:t>Security</w:t>
            </w:r>
          </w:p>
        </w:tc>
        <w:tc>
          <w:tcPr>
            <w:tcW w:w="275" w:type="dxa"/>
            <w:tcBorders/>
            <w:shd w:fill="CCEEFF" w:val="clear"/>
            <w:vAlign w:val="center"/>
          </w:tcPr>
          <w:p>
            <w:pPr>
              <w:pStyle w:val="TableContents"/>
              <w:bidi w:val="0"/>
              <w:spacing w:before="0" w:after="283"/>
              <w:jc w:val="center"/>
              <w:rPr/>
            </w:pPr>
            <w:r>
              <w:rPr/>
              <w:t>44</w:t>
            </w:r>
          </w:p>
        </w:tc>
      </w:tr>
      <w:tr>
        <w:trPr/>
        <w:tc>
          <w:tcPr>
            <w:tcW w:w="7069" w:type="dxa"/>
            <w:gridSpan w:val="2"/>
            <w:tcBorders/>
            <w:shd w:fill="FFFFFF" w:val="clear"/>
            <w:vAlign w:val="center"/>
          </w:tcPr>
          <w:p>
            <w:pPr>
              <w:pStyle w:val="TableContents"/>
              <w:bidi w:val="0"/>
              <w:spacing w:before="0" w:after="283"/>
              <w:jc w:val="left"/>
              <w:rPr/>
            </w:pPr>
            <w:r>
              <w:rPr/>
              <w:t>Adjournment and Postponement</w:t>
            </w:r>
          </w:p>
        </w:tc>
        <w:tc>
          <w:tcPr>
            <w:tcW w:w="275" w:type="dxa"/>
            <w:tcBorders/>
            <w:shd w:fill="FFFFFF" w:val="clear"/>
            <w:vAlign w:val="center"/>
          </w:tcPr>
          <w:p>
            <w:pPr>
              <w:pStyle w:val="TableContents"/>
              <w:bidi w:val="0"/>
              <w:spacing w:before="0" w:after="283"/>
              <w:jc w:val="center"/>
              <w:rPr/>
            </w:pPr>
            <w:r>
              <w:rPr/>
              <w:t>44</w:t>
            </w:r>
          </w:p>
        </w:tc>
      </w:tr>
      <w:tr>
        <w:trPr/>
        <w:tc>
          <w:tcPr>
            <w:tcW w:w="7069" w:type="dxa"/>
            <w:gridSpan w:val="2"/>
            <w:tcBorders/>
            <w:shd w:fill="CCEEFF" w:val="clear"/>
            <w:vAlign w:val="center"/>
          </w:tcPr>
          <w:p>
            <w:pPr>
              <w:pStyle w:val="TableContents"/>
              <w:bidi w:val="0"/>
              <w:spacing w:before="0" w:after="283"/>
              <w:jc w:val="left"/>
              <w:rPr/>
            </w:pPr>
            <w:r>
              <w:rPr/>
              <w:t>Method of voting</w:t>
            </w:r>
          </w:p>
        </w:tc>
        <w:tc>
          <w:tcPr>
            <w:tcW w:w="275" w:type="dxa"/>
            <w:tcBorders/>
            <w:shd w:fill="CCEEFF" w:val="clear"/>
            <w:vAlign w:val="center"/>
          </w:tcPr>
          <w:p>
            <w:pPr>
              <w:pStyle w:val="TableContents"/>
              <w:bidi w:val="0"/>
              <w:spacing w:before="0" w:after="283"/>
              <w:jc w:val="center"/>
              <w:rPr/>
            </w:pPr>
            <w:r>
              <w:rPr/>
              <w:t>44</w:t>
            </w:r>
          </w:p>
        </w:tc>
      </w:tr>
      <w:tr>
        <w:trPr/>
        <w:tc>
          <w:tcPr>
            <w:tcW w:w="7069" w:type="dxa"/>
            <w:gridSpan w:val="2"/>
            <w:tcBorders/>
            <w:shd w:fill="FFFFFF" w:val="clear"/>
            <w:vAlign w:val="center"/>
          </w:tcPr>
          <w:p>
            <w:pPr>
              <w:pStyle w:val="TableContents"/>
              <w:bidi w:val="0"/>
              <w:spacing w:before="0" w:after="283"/>
              <w:jc w:val="left"/>
              <w:rPr/>
            </w:pPr>
            <w:r>
              <w:rPr/>
              <w:t>Taking of a poll</w:t>
            </w:r>
          </w:p>
        </w:tc>
        <w:tc>
          <w:tcPr>
            <w:tcW w:w="275" w:type="dxa"/>
            <w:tcBorders/>
            <w:shd w:fill="FFFFFF" w:val="clear"/>
            <w:vAlign w:val="center"/>
          </w:tcPr>
          <w:p>
            <w:pPr>
              <w:pStyle w:val="TableContents"/>
              <w:bidi w:val="0"/>
              <w:spacing w:before="0" w:after="283"/>
              <w:jc w:val="center"/>
              <w:rPr/>
            </w:pPr>
            <w:r>
              <w:rPr/>
              <w:t>44</w:t>
            </w:r>
          </w:p>
        </w:tc>
      </w:tr>
      <w:tr>
        <w:trPr/>
        <w:tc>
          <w:tcPr>
            <w:tcW w:w="7069" w:type="dxa"/>
            <w:gridSpan w:val="2"/>
            <w:tcBorders/>
            <w:shd w:fill="CCEEFF" w:val="clear"/>
            <w:vAlign w:val="center"/>
          </w:tcPr>
          <w:p>
            <w:pPr>
              <w:pStyle w:val="TableContents"/>
              <w:bidi w:val="0"/>
              <w:spacing w:before="0" w:after="283"/>
              <w:jc w:val="left"/>
              <w:rPr/>
            </w:pPr>
            <w:r>
              <w:rPr/>
              <w:t>Chairman’s casting vote</w:t>
            </w:r>
          </w:p>
        </w:tc>
        <w:tc>
          <w:tcPr>
            <w:tcW w:w="275" w:type="dxa"/>
            <w:tcBorders/>
            <w:shd w:fill="CCEEFF" w:val="clear"/>
            <w:vAlign w:val="center"/>
          </w:tcPr>
          <w:p>
            <w:pPr>
              <w:pStyle w:val="TableContents"/>
              <w:bidi w:val="0"/>
              <w:spacing w:before="0" w:after="283"/>
              <w:jc w:val="center"/>
              <w:rPr/>
            </w:pPr>
            <w:r>
              <w:rPr/>
              <w:t>45</w:t>
            </w:r>
          </w:p>
        </w:tc>
      </w:tr>
      <w:tr>
        <w:trPr/>
        <w:tc>
          <w:tcPr>
            <w:tcW w:w="7069" w:type="dxa"/>
            <w:gridSpan w:val="2"/>
            <w:tcBorders/>
            <w:shd w:fill="FFFFFF" w:val="clear"/>
            <w:vAlign w:val="center"/>
          </w:tcPr>
          <w:p>
            <w:pPr>
              <w:pStyle w:val="TableContents"/>
              <w:bidi w:val="0"/>
              <w:spacing w:before="0" w:after="283"/>
              <w:jc w:val="left"/>
              <w:rPr/>
            </w:pPr>
            <w:r>
              <w:rPr/>
              <w:t>Amendments to resolutions</w:t>
            </w:r>
          </w:p>
        </w:tc>
        <w:tc>
          <w:tcPr>
            <w:tcW w:w="275" w:type="dxa"/>
            <w:tcBorders/>
            <w:shd w:fill="FFFFFF" w:val="clear"/>
            <w:vAlign w:val="center"/>
          </w:tcPr>
          <w:p>
            <w:pPr>
              <w:pStyle w:val="TableContents"/>
              <w:bidi w:val="0"/>
              <w:spacing w:before="0" w:after="283"/>
              <w:jc w:val="center"/>
              <w:rPr/>
            </w:pPr>
            <w:r>
              <w:rPr/>
              <w:t>45</w:t>
            </w:r>
          </w:p>
        </w:tc>
      </w:tr>
      <w:tr>
        <w:trPr/>
        <w:tc>
          <w:tcPr>
            <w:tcW w:w="7069" w:type="dxa"/>
            <w:gridSpan w:val="2"/>
            <w:tcBorders/>
            <w:shd w:fill="CCEEFF" w:val="clear"/>
            <w:vAlign w:val="center"/>
          </w:tcPr>
          <w:p>
            <w:pPr>
              <w:pStyle w:val="TableContents"/>
              <w:bidi w:val="0"/>
              <w:spacing w:before="0" w:after="283"/>
              <w:jc w:val="left"/>
              <w:rPr/>
            </w:pPr>
            <w:r>
              <w:rPr/>
              <w:t>Sole-Member Company</w:t>
            </w:r>
          </w:p>
        </w:tc>
        <w:tc>
          <w:tcPr>
            <w:tcW w:w="275" w:type="dxa"/>
            <w:tcBorders/>
            <w:shd w:fill="CCEEFF" w:val="clear"/>
            <w:vAlign w:val="center"/>
          </w:tcPr>
          <w:p>
            <w:pPr>
              <w:pStyle w:val="TableContents"/>
              <w:bidi w:val="0"/>
              <w:spacing w:before="0" w:after="283"/>
              <w:jc w:val="center"/>
              <w:rPr/>
            </w:pPr>
            <w:r>
              <w:rPr/>
              <w:t>45</w:t>
            </w:r>
          </w:p>
        </w:tc>
      </w:tr>
      <w:tr>
        <w:trPr/>
        <w:tc>
          <w:tcPr>
            <w:tcW w:w="706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14</w:t>
            </w:r>
          </w:p>
        </w:tc>
        <w:tc>
          <w:tcPr>
            <w:tcW w:w="6637" w:type="dxa"/>
            <w:tcBorders/>
            <w:shd w:fill="CCEEFF" w:val="clear"/>
            <w:vAlign w:val="center"/>
          </w:tcPr>
          <w:p>
            <w:pPr>
              <w:pStyle w:val="TableContents"/>
              <w:bidi w:val="0"/>
              <w:spacing w:before="0" w:after="283"/>
              <w:jc w:val="left"/>
              <w:rPr>
                <w:b/>
              </w:rPr>
            </w:pPr>
            <w:r>
              <w:rPr>
                <w:b/>
              </w:rPr>
              <w:t>Voting rights of Members</w:t>
            </w:r>
          </w:p>
        </w:tc>
        <w:tc>
          <w:tcPr>
            <w:tcW w:w="275" w:type="dxa"/>
            <w:tcBorders/>
            <w:shd w:fill="CCEEFF" w:val="clear"/>
            <w:vAlign w:val="center"/>
          </w:tcPr>
          <w:p>
            <w:pPr>
              <w:pStyle w:val="TableContents"/>
              <w:bidi w:val="0"/>
              <w:spacing w:before="0" w:after="283"/>
              <w:jc w:val="center"/>
              <w:rPr>
                <w:b/>
              </w:rPr>
            </w:pPr>
            <w:r>
              <w:rPr>
                <w:b/>
              </w:rPr>
              <w:t>46</w:t>
            </w:r>
          </w:p>
        </w:tc>
      </w:tr>
      <w:tr>
        <w:trPr/>
        <w:tc>
          <w:tcPr>
            <w:tcW w:w="7069" w:type="dxa"/>
            <w:gridSpan w:val="2"/>
            <w:tcBorders/>
            <w:shd w:fill="FFFFFF" w:val="clear"/>
            <w:vAlign w:val="center"/>
          </w:tcPr>
          <w:p>
            <w:pPr>
              <w:pStyle w:val="TableContents"/>
              <w:bidi w:val="0"/>
              <w:spacing w:before="0" w:after="283"/>
              <w:jc w:val="left"/>
              <w:rPr/>
            </w:pPr>
            <w:r>
              <w:rPr/>
              <w:t>Right to vote</w:t>
            </w:r>
          </w:p>
        </w:tc>
        <w:tc>
          <w:tcPr>
            <w:tcW w:w="275" w:type="dxa"/>
            <w:tcBorders/>
            <w:shd w:fill="FFFFFF" w:val="clear"/>
            <w:vAlign w:val="center"/>
          </w:tcPr>
          <w:p>
            <w:pPr>
              <w:pStyle w:val="TableContents"/>
              <w:bidi w:val="0"/>
              <w:spacing w:before="0" w:after="283"/>
              <w:jc w:val="center"/>
              <w:rPr/>
            </w:pPr>
            <w:r>
              <w:rPr/>
              <w:t>46</w:t>
            </w:r>
          </w:p>
        </w:tc>
      </w:tr>
      <w:tr>
        <w:trPr/>
        <w:tc>
          <w:tcPr>
            <w:tcW w:w="7069" w:type="dxa"/>
            <w:gridSpan w:val="2"/>
            <w:tcBorders/>
            <w:shd w:fill="CCEEFF" w:val="clear"/>
            <w:vAlign w:val="center"/>
          </w:tcPr>
          <w:p>
            <w:pPr>
              <w:pStyle w:val="TableContents"/>
              <w:bidi w:val="0"/>
              <w:spacing w:before="0" w:after="283"/>
              <w:jc w:val="left"/>
              <w:rPr/>
            </w:pPr>
            <w:r>
              <w:rPr/>
              <w:t>Rights of joint holders</w:t>
            </w:r>
          </w:p>
        </w:tc>
        <w:tc>
          <w:tcPr>
            <w:tcW w:w="275" w:type="dxa"/>
            <w:tcBorders/>
            <w:shd w:fill="CCEEFF" w:val="clear"/>
            <w:vAlign w:val="center"/>
          </w:tcPr>
          <w:p>
            <w:pPr>
              <w:pStyle w:val="TableContents"/>
              <w:bidi w:val="0"/>
              <w:spacing w:before="0" w:after="283"/>
              <w:jc w:val="center"/>
              <w:rPr/>
            </w:pPr>
            <w:r>
              <w:rPr/>
              <w:t>46</w:t>
            </w:r>
          </w:p>
        </w:tc>
      </w:tr>
      <w:tr>
        <w:trPr/>
        <w:tc>
          <w:tcPr>
            <w:tcW w:w="7069" w:type="dxa"/>
            <w:gridSpan w:val="2"/>
            <w:tcBorders/>
            <w:shd w:fill="FFFFFF" w:val="clear"/>
            <w:vAlign w:val="center"/>
          </w:tcPr>
          <w:p>
            <w:pPr>
              <w:pStyle w:val="TableContents"/>
              <w:bidi w:val="0"/>
              <w:spacing w:before="0" w:after="283"/>
              <w:jc w:val="left"/>
              <w:rPr/>
            </w:pPr>
            <w:r>
              <w:rPr/>
              <w:t>Representation of corporate Members</w:t>
            </w:r>
          </w:p>
        </w:tc>
        <w:tc>
          <w:tcPr>
            <w:tcW w:w="275" w:type="dxa"/>
            <w:tcBorders/>
            <w:shd w:fill="FFFFFF" w:val="clear"/>
            <w:vAlign w:val="center"/>
          </w:tcPr>
          <w:p>
            <w:pPr>
              <w:pStyle w:val="TableContents"/>
              <w:bidi w:val="0"/>
              <w:spacing w:before="0" w:after="283"/>
              <w:jc w:val="center"/>
              <w:rPr/>
            </w:pPr>
            <w:r>
              <w:rPr/>
              <w:t>46</w:t>
            </w:r>
          </w:p>
        </w:tc>
      </w:tr>
      <w:tr>
        <w:trPr/>
        <w:tc>
          <w:tcPr>
            <w:tcW w:w="7069" w:type="dxa"/>
            <w:gridSpan w:val="2"/>
            <w:tcBorders/>
            <w:shd w:fill="CCEEFF" w:val="clear"/>
            <w:vAlign w:val="center"/>
          </w:tcPr>
          <w:p>
            <w:pPr>
              <w:pStyle w:val="TableContents"/>
              <w:bidi w:val="0"/>
              <w:spacing w:before="0" w:after="283"/>
              <w:jc w:val="left"/>
              <w:rPr/>
            </w:pPr>
            <w:r>
              <w:rPr/>
              <w:t>Member with mental disorder</w:t>
            </w:r>
          </w:p>
        </w:tc>
        <w:tc>
          <w:tcPr>
            <w:tcW w:w="275" w:type="dxa"/>
            <w:tcBorders/>
            <w:shd w:fill="CCEEFF" w:val="clear"/>
            <w:vAlign w:val="center"/>
          </w:tcPr>
          <w:p>
            <w:pPr>
              <w:pStyle w:val="TableContents"/>
              <w:bidi w:val="0"/>
              <w:spacing w:before="0" w:after="283"/>
              <w:jc w:val="center"/>
              <w:rPr/>
            </w:pPr>
            <w:r>
              <w:rPr/>
              <w:t>47</w:t>
            </w:r>
          </w:p>
        </w:tc>
      </w:tr>
      <w:tr>
        <w:trPr/>
        <w:tc>
          <w:tcPr>
            <w:tcW w:w="7069" w:type="dxa"/>
            <w:gridSpan w:val="2"/>
            <w:tcBorders/>
            <w:shd w:fill="FFFFFF" w:val="clear"/>
            <w:vAlign w:val="center"/>
          </w:tcPr>
          <w:p>
            <w:pPr>
              <w:pStyle w:val="TableContents"/>
              <w:bidi w:val="0"/>
              <w:spacing w:before="0" w:after="283"/>
              <w:jc w:val="left"/>
              <w:rPr/>
            </w:pPr>
            <w:r>
              <w:rPr/>
              <w:t>Objections to admissibility of votes</w:t>
            </w:r>
          </w:p>
        </w:tc>
        <w:tc>
          <w:tcPr>
            <w:tcW w:w="275" w:type="dxa"/>
            <w:tcBorders/>
            <w:shd w:fill="FFFFFF" w:val="clear"/>
            <w:vAlign w:val="center"/>
          </w:tcPr>
          <w:p>
            <w:pPr>
              <w:pStyle w:val="TableContents"/>
              <w:bidi w:val="0"/>
              <w:spacing w:before="0" w:after="283"/>
              <w:jc w:val="center"/>
              <w:rPr/>
            </w:pPr>
            <w:r>
              <w:rPr/>
              <w:t>47</w:t>
            </w:r>
          </w:p>
        </w:tc>
      </w:tr>
      <w:tr>
        <w:trPr/>
        <w:tc>
          <w:tcPr>
            <w:tcW w:w="7069" w:type="dxa"/>
            <w:gridSpan w:val="2"/>
            <w:tcBorders/>
            <w:shd w:fill="CCEEFF" w:val="clear"/>
            <w:vAlign w:val="center"/>
          </w:tcPr>
          <w:p>
            <w:pPr>
              <w:pStyle w:val="TableContents"/>
              <w:bidi w:val="0"/>
              <w:spacing w:before="0" w:after="283"/>
              <w:jc w:val="left"/>
              <w:rPr/>
            </w:pPr>
            <w:r>
              <w:rPr/>
              <w:t>Form of proxy</w:t>
            </w:r>
          </w:p>
        </w:tc>
        <w:tc>
          <w:tcPr>
            <w:tcW w:w="275" w:type="dxa"/>
            <w:tcBorders/>
            <w:shd w:fill="CCEEFF" w:val="clear"/>
            <w:vAlign w:val="center"/>
          </w:tcPr>
          <w:p>
            <w:pPr>
              <w:pStyle w:val="TableContents"/>
              <w:bidi w:val="0"/>
              <w:spacing w:before="0" w:after="283"/>
              <w:jc w:val="center"/>
              <w:rPr/>
            </w:pPr>
            <w:r>
              <w:rPr/>
              <w:t>47</w:t>
            </w:r>
          </w:p>
        </w:tc>
      </w:tr>
      <w:tr>
        <w:trPr/>
        <w:tc>
          <w:tcPr>
            <w:tcW w:w="7069" w:type="dxa"/>
            <w:gridSpan w:val="2"/>
            <w:tcBorders/>
            <w:shd w:fill="FFFFFF" w:val="clear"/>
            <w:vAlign w:val="center"/>
          </w:tcPr>
          <w:p>
            <w:pPr>
              <w:pStyle w:val="TableContents"/>
              <w:bidi w:val="0"/>
              <w:spacing w:before="0" w:after="283"/>
              <w:jc w:val="left"/>
              <w:rPr/>
            </w:pPr>
            <w:r>
              <w:rPr/>
              <w:t>How and when proxy is to be delivered</w:t>
            </w:r>
          </w:p>
        </w:tc>
        <w:tc>
          <w:tcPr>
            <w:tcW w:w="275" w:type="dxa"/>
            <w:tcBorders/>
            <w:shd w:fill="FFFFFF" w:val="clear"/>
            <w:vAlign w:val="center"/>
          </w:tcPr>
          <w:p>
            <w:pPr>
              <w:pStyle w:val="TableContents"/>
              <w:bidi w:val="0"/>
              <w:spacing w:before="0" w:after="283"/>
              <w:jc w:val="center"/>
              <w:rPr/>
            </w:pPr>
            <w:r>
              <w:rPr/>
              <w:t>48</w:t>
            </w:r>
          </w:p>
        </w:tc>
      </w:tr>
      <w:tr>
        <w:trPr/>
        <w:tc>
          <w:tcPr>
            <w:tcW w:w="7069" w:type="dxa"/>
            <w:gridSpan w:val="2"/>
            <w:tcBorders/>
            <w:shd w:fill="CCEEFF" w:val="clear"/>
            <w:vAlign w:val="center"/>
          </w:tcPr>
          <w:p>
            <w:pPr>
              <w:pStyle w:val="TableContents"/>
              <w:bidi w:val="0"/>
              <w:spacing w:before="0" w:after="283"/>
              <w:jc w:val="left"/>
              <w:rPr/>
            </w:pPr>
            <w:r>
              <w:rPr/>
              <w:t>Voting by proxy</w:t>
            </w:r>
          </w:p>
        </w:tc>
        <w:tc>
          <w:tcPr>
            <w:tcW w:w="275" w:type="dxa"/>
            <w:tcBorders/>
            <w:shd w:fill="CCEEFF" w:val="clear"/>
            <w:vAlign w:val="center"/>
          </w:tcPr>
          <w:p>
            <w:pPr>
              <w:pStyle w:val="TableContents"/>
              <w:bidi w:val="0"/>
              <w:spacing w:before="0" w:after="283"/>
              <w:jc w:val="center"/>
              <w:rPr/>
            </w:pPr>
            <w:r>
              <w:rPr/>
              <w:t>49</w:t>
            </w:r>
          </w:p>
        </w:tc>
      </w:tr>
      <w:tr>
        <w:trPr/>
        <w:tc>
          <w:tcPr>
            <w:tcW w:w="706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32" w:type="dxa"/>
            <w:tcBorders/>
            <w:shd w:fill="CCEEFF" w:val="clear"/>
            <w:vAlign w:val="center"/>
          </w:tcPr>
          <w:p>
            <w:pPr>
              <w:pStyle w:val="TableContents"/>
              <w:bidi w:val="0"/>
              <w:spacing w:before="0" w:after="283"/>
              <w:jc w:val="left"/>
              <w:rPr>
                <w:b/>
              </w:rPr>
            </w:pPr>
            <w:r>
              <w:rPr>
                <w:b/>
              </w:rPr>
              <w:t>15</w:t>
            </w:r>
          </w:p>
        </w:tc>
        <w:tc>
          <w:tcPr>
            <w:tcW w:w="6637" w:type="dxa"/>
            <w:tcBorders/>
            <w:shd w:fill="CCEEFF" w:val="clear"/>
            <w:vAlign w:val="center"/>
          </w:tcPr>
          <w:p>
            <w:pPr>
              <w:pStyle w:val="TableContents"/>
              <w:bidi w:val="0"/>
              <w:spacing w:before="0" w:after="283"/>
              <w:jc w:val="left"/>
              <w:rPr>
                <w:b/>
              </w:rPr>
            </w:pPr>
            <w:r>
              <w:rPr>
                <w:b/>
              </w:rPr>
              <w:t>Number of Directors</w:t>
            </w:r>
          </w:p>
        </w:tc>
        <w:tc>
          <w:tcPr>
            <w:tcW w:w="275" w:type="dxa"/>
            <w:tcBorders/>
            <w:shd w:fill="CCEEFF" w:val="clear"/>
            <w:vAlign w:val="center"/>
          </w:tcPr>
          <w:p>
            <w:pPr>
              <w:pStyle w:val="TableContents"/>
              <w:bidi w:val="0"/>
              <w:spacing w:before="0" w:after="283"/>
              <w:jc w:val="center"/>
              <w:rPr>
                <w:b/>
              </w:rPr>
            </w:pPr>
            <w:r>
              <w:rPr>
                <w:b/>
              </w:rPr>
              <w:t>50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871"/>
        <w:gridCol w:w="5703"/>
        <w:gridCol w:w="275"/>
      </w:tblGrid>
      <w:tr>
        <w:trPr/>
        <w:tc>
          <w:tcPr>
            <w:tcW w:w="871" w:type="dxa"/>
            <w:tcBorders/>
            <w:shd w:fill="CCEEFF" w:val="clear"/>
            <w:vAlign w:val="center"/>
          </w:tcPr>
          <w:p>
            <w:pPr>
              <w:pStyle w:val="TableContents"/>
              <w:bidi w:val="0"/>
              <w:spacing w:before="0" w:after="283"/>
              <w:jc w:val="left"/>
              <w:rPr>
                <w:b/>
              </w:rPr>
            </w:pPr>
            <w:r>
              <w:rPr>
                <w:b/>
              </w:rPr>
              <w:t>16</w:t>
            </w:r>
          </w:p>
        </w:tc>
        <w:tc>
          <w:tcPr>
            <w:tcW w:w="5703" w:type="dxa"/>
            <w:tcBorders/>
            <w:shd w:fill="CCEEFF" w:val="clear"/>
            <w:vAlign w:val="center"/>
          </w:tcPr>
          <w:p>
            <w:pPr>
              <w:pStyle w:val="TableContents"/>
              <w:bidi w:val="0"/>
              <w:spacing w:before="0" w:after="283"/>
              <w:jc w:val="left"/>
              <w:rPr>
                <w:b/>
              </w:rPr>
            </w:pPr>
            <w:r>
              <w:rPr>
                <w:b/>
              </w:rPr>
              <w:t>Appointment, disqualification and removal of Directors</w:t>
            </w:r>
          </w:p>
        </w:tc>
        <w:tc>
          <w:tcPr>
            <w:tcW w:w="275" w:type="dxa"/>
            <w:tcBorders/>
            <w:shd w:fill="CCEEFF" w:val="clear"/>
            <w:vAlign w:val="center"/>
          </w:tcPr>
          <w:p>
            <w:pPr>
              <w:pStyle w:val="TableContents"/>
              <w:bidi w:val="0"/>
              <w:spacing w:before="0" w:after="283"/>
              <w:jc w:val="center"/>
              <w:rPr>
                <w:b/>
              </w:rPr>
            </w:pPr>
            <w:r>
              <w:rPr>
                <w:b/>
              </w:rPr>
              <w:t>50</w:t>
            </w:r>
          </w:p>
        </w:tc>
      </w:tr>
      <w:tr>
        <w:trPr/>
        <w:tc>
          <w:tcPr>
            <w:tcW w:w="6574" w:type="dxa"/>
            <w:gridSpan w:val="2"/>
            <w:tcBorders/>
            <w:shd w:fill="FFFFFF" w:val="clear"/>
            <w:vAlign w:val="center"/>
          </w:tcPr>
          <w:p>
            <w:pPr>
              <w:pStyle w:val="TableContents"/>
              <w:bidi w:val="0"/>
              <w:spacing w:before="0" w:after="283"/>
              <w:jc w:val="left"/>
              <w:rPr/>
            </w:pPr>
            <w:r>
              <w:rPr/>
              <w:t>No age limit</w:t>
            </w:r>
          </w:p>
        </w:tc>
        <w:tc>
          <w:tcPr>
            <w:tcW w:w="275" w:type="dxa"/>
            <w:tcBorders/>
            <w:shd w:fill="FFFFFF" w:val="clear"/>
            <w:vAlign w:val="center"/>
          </w:tcPr>
          <w:p>
            <w:pPr>
              <w:pStyle w:val="TableContents"/>
              <w:bidi w:val="0"/>
              <w:spacing w:before="0" w:after="283"/>
              <w:jc w:val="center"/>
              <w:rPr/>
            </w:pPr>
            <w:r>
              <w:rPr/>
              <w:t>50</w:t>
            </w:r>
          </w:p>
        </w:tc>
      </w:tr>
      <w:tr>
        <w:trPr/>
        <w:tc>
          <w:tcPr>
            <w:tcW w:w="6574" w:type="dxa"/>
            <w:gridSpan w:val="2"/>
            <w:tcBorders/>
            <w:shd w:fill="CCEEFF" w:val="clear"/>
            <w:vAlign w:val="center"/>
          </w:tcPr>
          <w:p>
            <w:pPr>
              <w:pStyle w:val="TableContents"/>
              <w:bidi w:val="0"/>
              <w:spacing w:before="0" w:after="283"/>
              <w:jc w:val="left"/>
              <w:rPr/>
            </w:pPr>
            <w:r>
              <w:rPr/>
              <w:t>Corporate Directors</w:t>
            </w:r>
          </w:p>
        </w:tc>
        <w:tc>
          <w:tcPr>
            <w:tcW w:w="275" w:type="dxa"/>
            <w:tcBorders/>
            <w:shd w:fill="CCEEFF" w:val="clear"/>
            <w:vAlign w:val="center"/>
          </w:tcPr>
          <w:p>
            <w:pPr>
              <w:pStyle w:val="TableContents"/>
              <w:bidi w:val="0"/>
              <w:spacing w:before="0" w:after="283"/>
              <w:jc w:val="center"/>
              <w:rPr/>
            </w:pPr>
            <w:r>
              <w:rPr/>
              <w:t>50</w:t>
            </w:r>
          </w:p>
        </w:tc>
      </w:tr>
      <w:tr>
        <w:trPr/>
        <w:tc>
          <w:tcPr>
            <w:tcW w:w="6574" w:type="dxa"/>
            <w:gridSpan w:val="2"/>
            <w:tcBorders/>
            <w:shd w:fill="FFFFFF" w:val="clear"/>
            <w:vAlign w:val="center"/>
          </w:tcPr>
          <w:p>
            <w:pPr>
              <w:pStyle w:val="TableContents"/>
              <w:bidi w:val="0"/>
              <w:spacing w:before="0" w:after="283"/>
              <w:jc w:val="left"/>
              <w:rPr/>
            </w:pPr>
            <w:r>
              <w:rPr/>
              <w:t>No shareholding qualification</w:t>
            </w:r>
          </w:p>
        </w:tc>
        <w:tc>
          <w:tcPr>
            <w:tcW w:w="275" w:type="dxa"/>
            <w:tcBorders/>
            <w:shd w:fill="FFFFFF" w:val="clear"/>
            <w:vAlign w:val="center"/>
          </w:tcPr>
          <w:p>
            <w:pPr>
              <w:pStyle w:val="TableContents"/>
              <w:bidi w:val="0"/>
              <w:spacing w:before="0" w:after="283"/>
              <w:jc w:val="center"/>
              <w:rPr/>
            </w:pPr>
            <w:r>
              <w:rPr/>
              <w:t>50</w:t>
            </w:r>
          </w:p>
        </w:tc>
      </w:tr>
      <w:tr>
        <w:trPr/>
        <w:tc>
          <w:tcPr>
            <w:tcW w:w="6574" w:type="dxa"/>
            <w:gridSpan w:val="2"/>
            <w:tcBorders/>
            <w:shd w:fill="CCEEFF" w:val="clear"/>
            <w:vAlign w:val="center"/>
          </w:tcPr>
          <w:p>
            <w:pPr>
              <w:pStyle w:val="TableContents"/>
              <w:bidi w:val="0"/>
              <w:spacing w:before="0" w:after="283"/>
              <w:jc w:val="left"/>
              <w:rPr/>
            </w:pPr>
            <w:r>
              <w:rPr/>
              <w:t>Appointment of Directors</w:t>
            </w:r>
          </w:p>
        </w:tc>
        <w:tc>
          <w:tcPr>
            <w:tcW w:w="275" w:type="dxa"/>
            <w:tcBorders/>
            <w:shd w:fill="CCEEFF" w:val="clear"/>
            <w:vAlign w:val="center"/>
          </w:tcPr>
          <w:p>
            <w:pPr>
              <w:pStyle w:val="TableContents"/>
              <w:bidi w:val="0"/>
              <w:spacing w:before="0" w:after="283"/>
              <w:jc w:val="center"/>
              <w:rPr/>
            </w:pPr>
            <w:r>
              <w:rPr/>
              <w:t>50</w:t>
            </w:r>
          </w:p>
        </w:tc>
      </w:tr>
      <w:tr>
        <w:trPr/>
        <w:tc>
          <w:tcPr>
            <w:tcW w:w="6574" w:type="dxa"/>
            <w:gridSpan w:val="2"/>
            <w:tcBorders/>
            <w:shd w:fill="FFFFFF" w:val="clear"/>
            <w:vAlign w:val="center"/>
          </w:tcPr>
          <w:p>
            <w:pPr>
              <w:pStyle w:val="TableContents"/>
              <w:bidi w:val="0"/>
              <w:spacing w:before="0" w:after="283"/>
              <w:jc w:val="left"/>
              <w:rPr/>
            </w:pPr>
            <w:r>
              <w:rPr/>
              <w:t>Board’s power to appoint Directors</w:t>
            </w:r>
          </w:p>
        </w:tc>
        <w:tc>
          <w:tcPr>
            <w:tcW w:w="275" w:type="dxa"/>
            <w:tcBorders/>
            <w:shd w:fill="FFFFFF" w:val="clear"/>
            <w:vAlign w:val="center"/>
          </w:tcPr>
          <w:p>
            <w:pPr>
              <w:pStyle w:val="TableContents"/>
              <w:bidi w:val="0"/>
              <w:spacing w:before="0" w:after="283"/>
              <w:jc w:val="center"/>
              <w:rPr/>
            </w:pPr>
            <w:r>
              <w:rPr/>
              <w:t>51</w:t>
            </w:r>
          </w:p>
        </w:tc>
      </w:tr>
      <w:tr>
        <w:trPr/>
        <w:tc>
          <w:tcPr>
            <w:tcW w:w="6574" w:type="dxa"/>
            <w:gridSpan w:val="2"/>
            <w:tcBorders/>
            <w:shd w:fill="CCEEFF" w:val="clear"/>
            <w:vAlign w:val="center"/>
          </w:tcPr>
          <w:p>
            <w:pPr>
              <w:pStyle w:val="TableContents"/>
              <w:bidi w:val="0"/>
              <w:spacing w:before="0" w:after="283"/>
              <w:jc w:val="left"/>
              <w:rPr/>
            </w:pPr>
            <w:r>
              <w:rPr/>
              <w:t>Removal of Directors</w:t>
            </w:r>
          </w:p>
        </w:tc>
        <w:tc>
          <w:tcPr>
            <w:tcW w:w="275" w:type="dxa"/>
            <w:tcBorders/>
            <w:shd w:fill="CCEEFF" w:val="clear"/>
            <w:vAlign w:val="center"/>
          </w:tcPr>
          <w:p>
            <w:pPr>
              <w:pStyle w:val="TableContents"/>
              <w:bidi w:val="0"/>
              <w:spacing w:before="0" w:after="283"/>
              <w:jc w:val="center"/>
              <w:rPr/>
            </w:pPr>
            <w:r>
              <w:rPr/>
              <w:t>51</w:t>
            </w:r>
          </w:p>
        </w:tc>
      </w:tr>
      <w:tr>
        <w:trPr/>
        <w:tc>
          <w:tcPr>
            <w:tcW w:w="6574" w:type="dxa"/>
            <w:gridSpan w:val="2"/>
            <w:tcBorders/>
            <w:shd w:fill="FFFFFF" w:val="clear"/>
            <w:vAlign w:val="center"/>
          </w:tcPr>
          <w:p>
            <w:pPr>
              <w:pStyle w:val="TableContents"/>
              <w:bidi w:val="0"/>
              <w:spacing w:before="0" w:after="283"/>
              <w:jc w:val="left"/>
              <w:rPr/>
            </w:pPr>
            <w:r>
              <w:rPr/>
              <w:t>Resignation of Directors</w:t>
            </w:r>
          </w:p>
        </w:tc>
        <w:tc>
          <w:tcPr>
            <w:tcW w:w="275" w:type="dxa"/>
            <w:tcBorders/>
            <w:shd w:fill="FFFFFF" w:val="clear"/>
            <w:vAlign w:val="center"/>
          </w:tcPr>
          <w:p>
            <w:pPr>
              <w:pStyle w:val="TableContents"/>
              <w:bidi w:val="0"/>
              <w:spacing w:before="0" w:after="283"/>
              <w:jc w:val="center"/>
              <w:rPr/>
            </w:pPr>
            <w:r>
              <w:rPr/>
              <w:t>51</w:t>
            </w:r>
          </w:p>
        </w:tc>
      </w:tr>
      <w:tr>
        <w:trPr/>
        <w:tc>
          <w:tcPr>
            <w:tcW w:w="6574" w:type="dxa"/>
            <w:gridSpan w:val="2"/>
            <w:tcBorders/>
            <w:shd w:fill="CCEEFF" w:val="clear"/>
            <w:vAlign w:val="center"/>
          </w:tcPr>
          <w:p>
            <w:pPr>
              <w:pStyle w:val="TableContents"/>
              <w:bidi w:val="0"/>
              <w:spacing w:before="0" w:after="283"/>
              <w:jc w:val="left"/>
              <w:rPr/>
            </w:pPr>
            <w:r>
              <w:rPr/>
              <w:t>Termination of the office of Director</w:t>
            </w:r>
          </w:p>
        </w:tc>
        <w:tc>
          <w:tcPr>
            <w:tcW w:w="275" w:type="dxa"/>
            <w:tcBorders/>
            <w:shd w:fill="CCEEFF" w:val="clear"/>
            <w:vAlign w:val="center"/>
          </w:tcPr>
          <w:p>
            <w:pPr>
              <w:pStyle w:val="TableContents"/>
              <w:bidi w:val="0"/>
              <w:spacing w:before="0" w:after="283"/>
              <w:jc w:val="center"/>
              <w:rPr/>
            </w:pPr>
            <w:r>
              <w:rPr/>
              <w:t>51</w:t>
            </w:r>
          </w:p>
        </w:tc>
      </w:tr>
      <w:tr>
        <w:trPr/>
        <w:tc>
          <w:tcPr>
            <w:tcW w:w="6574"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871" w:type="dxa"/>
            <w:tcBorders/>
            <w:shd w:fill="CCEEFF" w:val="clear"/>
            <w:vAlign w:val="center"/>
          </w:tcPr>
          <w:p>
            <w:pPr>
              <w:pStyle w:val="TableContents"/>
              <w:bidi w:val="0"/>
              <w:spacing w:before="0" w:after="283"/>
              <w:jc w:val="left"/>
              <w:rPr>
                <w:b/>
              </w:rPr>
            </w:pPr>
            <w:r>
              <w:rPr>
                <w:b/>
              </w:rPr>
              <w:t>17</w:t>
            </w:r>
          </w:p>
        </w:tc>
        <w:tc>
          <w:tcPr>
            <w:tcW w:w="5703" w:type="dxa"/>
            <w:tcBorders/>
            <w:shd w:fill="CCEEFF" w:val="clear"/>
            <w:vAlign w:val="center"/>
          </w:tcPr>
          <w:p>
            <w:pPr>
              <w:pStyle w:val="TableContents"/>
              <w:bidi w:val="0"/>
              <w:spacing w:before="0" w:after="283"/>
              <w:jc w:val="left"/>
              <w:rPr>
                <w:b/>
              </w:rPr>
            </w:pPr>
            <w:r>
              <w:rPr>
                <w:b/>
              </w:rPr>
              <w:t>Alternate Directors</w:t>
            </w:r>
          </w:p>
        </w:tc>
        <w:tc>
          <w:tcPr>
            <w:tcW w:w="275" w:type="dxa"/>
            <w:tcBorders/>
            <w:shd w:fill="CCEEFF" w:val="clear"/>
            <w:vAlign w:val="center"/>
          </w:tcPr>
          <w:p>
            <w:pPr>
              <w:pStyle w:val="TableContents"/>
              <w:bidi w:val="0"/>
              <w:spacing w:before="0" w:after="283"/>
              <w:jc w:val="center"/>
              <w:rPr>
                <w:b/>
              </w:rPr>
            </w:pPr>
            <w:r>
              <w:rPr>
                <w:b/>
              </w:rPr>
              <w:t>52</w:t>
            </w:r>
          </w:p>
        </w:tc>
      </w:tr>
      <w:tr>
        <w:trPr/>
        <w:tc>
          <w:tcPr>
            <w:tcW w:w="6574" w:type="dxa"/>
            <w:gridSpan w:val="2"/>
            <w:tcBorders/>
            <w:shd w:fill="FFFFFF" w:val="clear"/>
            <w:vAlign w:val="center"/>
          </w:tcPr>
          <w:p>
            <w:pPr>
              <w:pStyle w:val="TableContents"/>
              <w:bidi w:val="0"/>
              <w:spacing w:before="0" w:after="283"/>
              <w:jc w:val="left"/>
              <w:rPr/>
            </w:pPr>
            <w:r>
              <w:rPr/>
              <w:t>Appointment and removal</w:t>
            </w:r>
          </w:p>
        </w:tc>
        <w:tc>
          <w:tcPr>
            <w:tcW w:w="275" w:type="dxa"/>
            <w:tcBorders/>
            <w:shd w:fill="FFFFFF" w:val="clear"/>
            <w:vAlign w:val="center"/>
          </w:tcPr>
          <w:p>
            <w:pPr>
              <w:pStyle w:val="TableContents"/>
              <w:bidi w:val="0"/>
              <w:spacing w:before="0" w:after="283"/>
              <w:jc w:val="center"/>
              <w:rPr/>
            </w:pPr>
            <w:r>
              <w:rPr/>
              <w:t>52</w:t>
            </w:r>
          </w:p>
        </w:tc>
      </w:tr>
      <w:tr>
        <w:trPr/>
        <w:tc>
          <w:tcPr>
            <w:tcW w:w="6574" w:type="dxa"/>
            <w:gridSpan w:val="2"/>
            <w:tcBorders/>
            <w:shd w:fill="CCEEFF" w:val="clear"/>
            <w:vAlign w:val="center"/>
          </w:tcPr>
          <w:p>
            <w:pPr>
              <w:pStyle w:val="TableContents"/>
              <w:bidi w:val="0"/>
              <w:spacing w:before="0" w:after="283"/>
              <w:jc w:val="left"/>
              <w:rPr/>
            </w:pPr>
            <w:r>
              <w:rPr/>
              <w:t>Notices</w:t>
            </w:r>
          </w:p>
        </w:tc>
        <w:tc>
          <w:tcPr>
            <w:tcW w:w="275" w:type="dxa"/>
            <w:tcBorders/>
            <w:shd w:fill="CCEEFF" w:val="clear"/>
            <w:vAlign w:val="center"/>
          </w:tcPr>
          <w:p>
            <w:pPr>
              <w:pStyle w:val="TableContents"/>
              <w:bidi w:val="0"/>
              <w:spacing w:before="0" w:after="283"/>
              <w:jc w:val="center"/>
              <w:rPr/>
            </w:pPr>
            <w:r>
              <w:rPr/>
              <w:t>53</w:t>
            </w:r>
          </w:p>
        </w:tc>
      </w:tr>
      <w:tr>
        <w:trPr/>
        <w:tc>
          <w:tcPr>
            <w:tcW w:w="6574" w:type="dxa"/>
            <w:gridSpan w:val="2"/>
            <w:tcBorders/>
            <w:shd w:fill="FFFFFF" w:val="clear"/>
            <w:vAlign w:val="center"/>
          </w:tcPr>
          <w:p>
            <w:pPr>
              <w:pStyle w:val="TableContents"/>
              <w:bidi w:val="0"/>
              <w:spacing w:before="0" w:after="283"/>
              <w:jc w:val="left"/>
              <w:rPr/>
            </w:pPr>
            <w:r>
              <w:rPr/>
              <w:t>Rights of alternate Director</w:t>
            </w:r>
          </w:p>
        </w:tc>
        <w:tc>
          <w:tcPr>
            <w:tcW w:w="275" w:type="dxa"/>
            <w:tcBorders/>
            <w:shd w:fill="FFFFFF" w:val="clear"/>
            <w:vAlign w:val="center"/>
          </w:tcPr>
          <w:p>
            <w:pPr>
              <w:pStyle w:val="TableContents"/>
              <w:bidi w:val="0"/>
              <w:spacing w:before="0" w:after="283"/>
              <w:jc w:val="center"/>
              <w:rPr/>
            </w:pPr>
            <w:r>
              <w:rPr/>
              <w:t>53</w:t>
            </w:r>
          </w:p>
        </w:tc>
      </w:tr>
      <w:tr>
        <w:trPr/>
        <w:tc>
          <w:tcPr>
            <w:tcW w:w="6574" w:type="dxa"/>
            <w:gridSpan w:val="2"/>
            <w:tcBorders/>
            <w:shd w:fill="CCEEFF" w:val="clear"/>
            <w:vAlign w:val="center"/>
          </w:tcPr>
          <w:p>
            <w:pPr>
              <w:pStyle w:val="TableContents"/>
              <w:bidi w:val="0"/>
              <w:spacing w:before="0" w:after="283"/>
              <w:jc w:val="left"/>
              <w:rPr/>
            </w:pPr>
            <w:r>
              <w:rPr/>
              <w:t>Appointment ceases when the appointor ceases to be a Director</w:t>
            </w:r>
          </w:p>
        </w:tc>
        <w:tc>
          <w:tcPr>
            <w:tcW w:w="275" w:type="dxa"/>
            <w:tcBorders/>
            <w:shd w:fill="CCEEFF" w:val="clear"/>
            <w:vAlign w:val="center"/>
          </w:tcPr>
          <w:p>
            <w:pPr>
              <w:pStyle w:val="TableContents"/>
              <w:bidi w:val="0"/>
              <w:spacing w:before="0" w:after="283"/>
              <w:jc w:val="center"/>
              <w:rPr/>
            </w:pPr>
            <w:r>
              <w:rPr/>
              <w:t>53</w:t>
            </w:r>
          </w:p>
        </w:tc>
      </w:tr>
      <w:tr>
        <w:trPr/>
        <w:tc>
          <w:tcPr>
            <w:tcW w:w="6574" w:type="dxa"/>
            <w:gridSpan w:val="2"/>
            <w:tcBorders/>
            <w:shd w:fill="FFFFFF" w:val="clear"/>
            <w:vAlign w:val="center"/>
          </w:tcPr>
          <w:p>
            <w:pPr>
              <w:pStyle w:val="TableContents"/>
              <w:bidi w:val="0"/>
              <w:spacing w:before="0" w:after="283"/>
              <w:jc w:val="left"/>
              <w:rPr/>
            </w:pPr>
            <w:r>
              <w:rPr/>
              <w:t>Status of alternate Director</w:t>
            </w:r>
          </w:p>
        </w:tc>
        <w:tc>
          <w:tcPr>
            <w:tcW w:w="275" w:type="dxa"/>
            <w:tcBorders/>
            <w:shd w:fill="FFFFFF" w:val="clear"/>
            <w:vAlign w:val="center"/>
          </w:tcPr>
          <w:p>
            <w:pPr>
              <w:pStyle w:val="TableContents"/>
              <w:bidi w:val="0"/>
              <w:spacing w:before="0" w:after="283"/>
              <w:jc w:val="center"/>
              <w:rPr/>
            </w:pPr>
            <w:r>
              <w:rPr/>
              <w:t>53</w:t>
            </w:r>
          </w:p>
        </w:tc>
      </w:tr>
      <w:tr>
        <w:trPr/>
        <w:tc>
          <w:tcPr>
            <w:tcW w:w="6574" w:type="dxa"/>
            <w:gridSpan w:val="2"/>
            <w:tcBorders/>
            <w:shd w:fill="CCEEFF" w:val="clear"/>
            <w:vAlign w:val="center"/>
          </w:tcPr>
          <w:p>
            <w:pPr>
              <w:pStyle w:val="TableContents"/>
              <w:bidi w:val="0"/>
              <w:spacing w:before="0" w:after="283"/>
              <w:jc w:val="left"/>
              <w:rPr/>
            </w:pPr>
            <w:r>
              <w:rPr/>
              <w:t>Status of the Director making the appointment</w:t>
            </w:r>
          </w:p>
        </w:tc>
        <w:tc>
          <w:tcPr>
            <w:tcW w:w="275" w:type="dxa"/>
            <w:tcBorders/>
            <w:shd w:fill="CCEEFF" w:val="clear"/>
            <w:vAlign w:val="center"/>
          </w:tcPr>
          <w:p>
            <w:pPr>
              <w:pStyle w:val="TableContents"/>
              <w:bidi w:val="0"/>
              <w:spacing w:before="0" w:after="283"/>
              <w:jc w:val="center"/>
              <w:rPr/>
            </w:pPr>
            <w:r>
              <w:rPr/>
              <w:t>54</w:t>
            </w:r>
          </w:p>
        </w:tc>
      </w:tr>
      <w:tr>
        <w:trPr/>
        <w:tc>
          <w:tcPr>
            <w:tcW w:w="6574"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871" w:type="dxa"/>
            <w:tcBorders/>
            <w:shd w:fill="CCEEFF" w:val="clear"/>
            <w:vAlign w:val="center"/>
          </w:tcPr>
          <w:p>
            <w:pPr>
              <w:pStyle w:val="TableContents"/>
              <w:bidi w:val="0"/>
              <w:spacing w:before="0" w:after="283"/>
              <w:jc w:val="left"/>
              <w:rPr>
                <w:b/>
              </w:rPr>
            </w:pPr>
            <w:r>
              <w:rPr>
                <w:b/>
              </w:rPr>
              <w:t>18</w:t>
            </w:r>
          </w:p>
        </w:tc>
        <w:tc>
          <w:tcPr>
            <w:tcW w:w="5703" w:type="dxa"/>
            <w:tcBorders/>
            <w:shd w:fill="CCEEFF" w:val="clear"/>
            <w:vAlign w:val="center"/>
          </w:tcPr>
          <w:p>
            <w:pPr>
              <w:pStyle w:val="TableContents"/>
              <w:bidi w:val="0"/>
              <w:spacing w:before="0" w:after="283"/>
              <w:jc w:val="left"/>
              <w:rPr>
                <w:b/>
              </w:rPr>
            </w:pPr>
            <w:r>
              <w:rPr>
                <w:b/>
              </w:rPr>
              <w:t>Powers of Directors</w:t>
            </w:r>
          </w:p>
        </w:tc>
        <w:tc>
          <w:tcPr>
            <w:tcW w:w="275" w:type="dxa"/>
            <w:tcBorders/>
            <w:shd w:fill="CCEEFF" w:val="clear"/>
            <w:vAlign w:val="center"/>
          </w:tcPr>
          <w:p>
            <w:pPr>
              <w:pStyle w:val="TableContents"/>
              <w:bidi w:val="0"/>
              <w:spacing w:before="0" w:after="283"/>
              <w:jc w:val="center"/>
              <w:rPr>
                <w:b/>
              </w:rPr>
            </w:pPr>
            <w:r>
              <w:rPr>
                <w:b/>
              </w:rPr>
              <w:t>54</w:t>
            </w:r>
          </w:p>
        </w:tc>
      </w:tr>
      <w:tr>
        <w:trPr/>
        <w:tc>
          <w:tcPr>
            <w:tcW w:w="6574" w:type="dxa"/>
            <w:gridSpan w:val="2"/>
            <w:tcBorders/>
            <w:shd w:fill="FFFFFF" w:val="clear"/>
            <w:vAlign w:val="center"/>
          </w:tcPr>
          <w:p>
            <w:pPr>
              <w:pStyle w:val="TableContents"/>
              <w:bidi w:val="0"/>
              <w:spacing w:before="0" w:after="283"/>
              <w:jc w:val="left"/>
              <w:rPr/>
            </w:pPr>
            <w:r>
              <w:rPr/>
              <w:t>Powers of Directors</w:t>
            </w:r>
          </w:p>
        </w:tc>
        <w:tc>
          <w:tcPr>
            <w:tcW w:w="275" w:type="dxa"/>
            <w:tcBorders/>
            <w:shd w:fill="FFFFFF" w:val="clear"/>
            <w:vAlign w:val="center"/>
          </w:tcPr>
          <w:p>
            <w:pPr>
              <w:pStyle w:val="TableContents"/>
              <w:bidi w:val="0"/>
              <w:spacing w:before="0" w:after="283"/>
              <w:jc w:val="center"/>
              <w:rPr/>
            </w:pPr>
            <w:r>
              <w:rPr/>
              <w:t>54</w:t>
            </w:r>
          </w:p>
        </w:tc>
      </w:tr>
      <w:tr>
        <w:trPr/>
        <w:tc>
          <w:tcPr>
            <w:tcW w:w="6574" w:type="dxa"/>
            <w:gridSpan w:val="2"/>
            <w:tcBorders/>
            <w:shd w:fill="CCEEFF" w:val="clear"/>
            <w:vAlign w:val="center"/>
          </w:tcPr>
          <w:p>
            <w:pPr>
              <w:pStyle w:val="TableContents"/>
              <w:bidi w:val="0"/>
              <w:spacing w:before="0" w:after="283"/>
              <w:jc w:val="left"/>
              <w:rPr/>
            </w:pPr>
            <w:r>
              <w:rPr/>
              <w:t>Directors below the minimum number</w:t>
            </w:r>
          </w:p>
        </w:tc>
        <w:tc>
          <w:tcPr>
            <w:tcW w:w="275" w:type="dxa"/>
            <w:tcBorders/>
            <w:shd w:fill="CCEEFF" w:val="clear"/>
            <w:vAlign w:val="center"/>
          </w:tcPr>
          <w:p>
            <w:pPr>
              <w:pStyle w:val="TableContents"/>
              <w:bidi w:val="0"/>
              <w:spacing w:before="0" w:after="283"/>
              <w:jc w:val="center"/>
              <w:rPr/>
            </w:pPr>
            <w:r>
              <w:rPr/>
              <w:t>54</w:t>
            </w:r>
          </w:p>
        </w:tc>
      </w:tr>
      <w:tr>
        <w:trPr/>
        <w:tc>
          <w:tcPr>
            <w:tcW w:w="6574" w:type="dxa"/>
            <w:gridSpan w:val="2"/>
            <w:tcBorders/>
            <w:shd w:fill="FFFFFF" w:val="clear"/>
            <w:vAlign w:val="center"/>
          </w:tcPr>
          <w:p>
            <w:pPr>
              <w:pStyle w:val="TableContents"/>
              <w:bidi w:val="0"/>
              <w:spacing w:before="0" w:after="283"/>
              <w:jc w:val="left"/>
              <w:rPr/>
            </w:pPr>
            <w:r>
              <w:rPr/>
              <w:t>Appointments to office</w:t>
            </w:r>
          </w:p>
        </w:tc>
        <w:tc>
          <w:tcPr>
            <w:tcW w:w="275" w:type="dxa"/>
            <w:tcBorders/>
            <w:shd w:fill="FFFFFF" w:val="clear"/>
            <w:vAlign w:val="center"/>
          </w:tcPr>
          <w:p>
            <w:pPr>
              <w:pStyle w:val="TableContents"/>
              <w:bidi w:val="0"/>
              <w:spacing w:before="0" w:after="283"/>
              <w:jc w:val="center"/>
              <w:rPr/>
            </w:pPr>
            <w:r>
              <w:rPr/>
              <w:t>54</w:t>
            </w:r>
          </w:p>
        </w:tc>
      </w:tr>
      <w:tr>
        <w:trPr/>
        <w:tc>
          <w:tcPr>
            <w:tcW w:w="6574" w:type="dxa"/>
            <w:gridSpan w:val="2"/>
            <w:tcBorders/>
            <w:shd w:fill="CCEEFF" w:val="clear"/>
            <w:vAlign w:val="center"/>
          </w:tcPr>
          <w:p>
            <w:pPr>
              <w:pStyle w:val="TableContents"/>
              <w:bidi w:val="0"/>
              <w:spacing w:before="0" w:after="283"/>
              <w:jc w:val="left"/>
              <w:rPr/>
            </w:pPr>
            <w:r>
              <w:rPr/>
              <w:t>Provisions for employees</w:t>
            </w:r>
          </w:p>
        </w:tc>
        <w:tc>
          <w:tcPr>
            <w:tcW w:w="275" w:type="dxa"/>
            <w:tcBorders/>
            <w:shd w:fill="CCEEFF" w:val="clear"/>
            <w:vAlign w:val="center"/>
          </w:tcPr>
          <w:p>
            <w:pPr>
              <w:pStyle w:val="TableContents"/>
              <w:bidi w:val="0"/>
              <w:spacing w:before="0" w:after="283"/>
              <w:jc w:val="center"/>
              <w:rPr/>
            </w:pPr>
            <w:r>
              <w:rPr/>
              <w:t>55</w:t>
            </w:r>
          </w:p>
        </w:tc>
      </w:tr>
      <w:tr>
        <w:trPr/>
        <w:tc>
          <w:tcPr>
            <w:tcW w:w="6574" w:type="dxa"/>
            <w:gridSpan w:val="2"/>
            <w:tcBorders/>
            <w:shd w:fill="FFFFFF" w:val="clear"/>
            <w:vAlign w:val="center"/>
          </w:tcPr>
          <w:p>
            <w:pPr>
              <w:pStyle w:val="TableContents"/>
              <w:bidi w:val="0"/>
              <w:spacing w:before="0" w:after="283"/>
              <w:jc w:val="left"/>
              <w:rPr/>
            </w:pPr>
            <w:r>
              <w:rPr/>
              <w:t>Exercise of voting rights</w:t>
            </w:r>
          </w:p>
        </w:tc>
        <w:tc>
          <w:tcPr>
            <w:tcW w:w="275" w:type="dxa"/>
            <w:tcBorders/>
            <w:shd w:fill="FFFFFF" w:val="clear"/>
            <w:vAlign w:val="center"/>
          </w:tcPr>
          <w:p>
            <w:pPr>
              <w:pStyle w:val="TableContents"/>
              <w:bidi w:val="0"/>
              <w:spacing w:before="0" w:after="283"/>
              <w:jc w:val="center"/>
              <w:rPr/>
            </w:pPr>
            <w:r>
              <w:rPr/>
              <w:t>55</w:t>
            </w:r>
          </w:p>
        </w:tc>
      </w:tr>
      <w:tr>
        <w:trPr/>
        <w:tc>
          <w:tcPr>
            <w:tcW w:w="6574" w:type="dxa"/>
            <w:gridSpan w:val="2"/>
            <w:tcBorders/>
            <w:shd w:fill="CCEEFF" w:val="clear"/>
            <w:vAlign w:val="center"/>
          </w:tcPr>
          <w:p>
            <w:pPr>
              <w:pStyle w:val="TableContents"/>
              <w:bidi w:val="0"/>
              <w:spacing w:before="0" w:after="283"/>
              <w:jc w:val="left"/>
              <w:rPr/>
            </w:pPr>
            <w:r>
              <w:rPr/>
              <w:t>Remuneration</w:t>
            </w:r>
          </w:p>
        </w:tc>
        <w:tc>
          <w:tcPr>
            <w:tcW w:w="275" w:type="dxa"/>
            <w:tcBorders/>
            <w:shd w:fill="CCEEFF" w:val="clear"/>
            <w:vAlign w:val="center"/>
          </w:tcPr>
          <w:p>
            <w:pPr>
              <w:pStyle w:val="TableContents"/>
              <w:bidi w:val="0"/>
              <w:spacing w:before="0" w:after="283"/>
              <w:jc w:val="center"/>
              <w:rPr/>
            </w:pPr>
            <w:r>
              <w:rPr/>
              <w:t>55</w:t>
            </w:r>
          </w:p>
        </w:tc>
      </w:tr>
      <w:tr>
        <w:trPr/>
        <w:tc>
          <w:tcPr>
            <w:tcW w:w="6574" w:type="dxa"/>
            <w:gridSpan w:val="2"/>
            <w:tcBorders/>
            <w:shd w:fill="FFFFFF" w:val="clear"/>
            <w:vAlign w:val="center"/>
          </w:tcPr>
          <w:p>
            <w:pPr>
              <w:pStyle w:val="TableContents"/>
              <w:bidi w:val="0"/>
              <w:spacing w:before="0" w:after="283"/>
              <w:jc w:val="left"/>
              <w:rPr/>
            </w:pPr>
            <w:r>
              <w:rPr/>
              <w:t>Disclosure of information</w:t>
            </w:r>
          </w:p>
        </w:tc>
        <w:tc>
          <w:tcPr>
            <w:tcW w:w="275" w:type="dxa"/>
            <w:tcBorders/>
            <w:shd w:fill="FFFFFF" w:val="clear"/>
            <w:vAlign w:val="center"/>
          </w:tcPr>
          <w:p>
            <w:pPr>
              <w:pStyle w:val="TableContents"/>
              <w:bidi w:val="0"/>
              <w:spacing w:before="0" w:after="283"/>
              <w:jc w:val="center"/>
              <w:rPr/>
            </w:pPr>
            <w:r>
              <w:rPr/>
              <w:t>56</w:t>
            </w:r>
          </w:p>
        </w:tc>
      </w:tr>
      <w:tr>
        <w:trPr/>
        <w:tc>
          <w:tcPr>
            <w:tcW w:w="6574"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left"/>
              <w:rPr>
                <w:b/>
              </w:rPr>
            </w:pPr>
            <w:r>
              <w:rPr>
                <w:b/>
              </w:rPr>
              <w:t>19</w:t>
            </w:r>
          </w:p>
        </w:tc>
        <w:tc>
          <w:tcPr>
            <w:tcW w:w="5703" w:type="dxa"/>
            <w:tcBorders/>
            <w:shd w:fill="FFFFFF" w:val="clear"/>
            <w:vAlign w:val="center"/>
          </w:tcPr>
          <w:p>
            <w:pPr>
              <w:pStyle w:val="TableContents"/>
              <w:bidi w:val="0"/>
              <w:spacing w:before="0" w:after="283"/>
              <w:jc w:val="left"/>
              <w:rPr>
                <w:b/>
              </w:rPr>
            </w:pPr>
            <w:r>
              <w:rPr>
                <w:b/>
              </w:rPr>
              <w:t>Delegation of powers</w:t>
            </w:r>
          </w:p>
        </w:tc>
        <w:tc>
          <w:tcPr>
            <w:tcW w:w="275" w:type="dxa"/>
            <w:tcBorders/>
            <w:shd w:fill="FFFFFF" w:val="clear"/>
            <w:vAlign w:val="center"/>
          </w:tcPr>
          <w:p>
            <w:pPr>
              <w:pStyle w:val="TableContents"/>
              <w:bidi w:val="0"/>
              <w:spacing w:before="0" w:after="283"/>
              <w:jc w:val="center"/>
              <w:rPr>
                <w:b/>
              </w:rPr>
            </w:pPr>
            <w:r>
              <w:rPr>
                <w:b/>
              </w:rPr>
              <w:t>56</w:t>
            </w:r>
          </w:p>
        </w:tc>
      </w:tr>
      <w:tr>
        <w:trPr/>
        <w:tc>
          <w:tcPr>
            <w:tcW w:w="6574" w:type="dxa"/>
            <w:gridSpan w:val="2"/>
            <w:tcBorders/>
            <w:shd w:fill="CCEEFF" w:val="clear"/>
            <w:vAlign w:val="center"/>
          </w:tcPr>
          <w:p>
            <w:pPr>
              <w:pStyle w:val="TableContents"/>
              <w:bidi w:val="0"/>
              <w:spacing w:before="0" w:after="283"/>
              <w:jc w:val="left"/>
              <w:rPr/>
            </w:pPr>
            <w:r>
              <w:rPr/>
              <w:t>Power to delegate any of the Directors’ powers to a committee</w:t>
            </w:r>
          </w:p>
        </w:tc>
        <w:tc>
          <w:tcPr>
            <w:tcW w:w="275" w:type="dxa"/>
            <w:tcBorders/>
            <w:shd w:fill="CCEEFF" w:val="clear"/>
            <w:vAlign w:val="center"/>
          </w:tcPr>
          <w:p>
            <w:pPr>
              <w:pStyle w:val="TableContents"/>
              <w:bidi w:val="0"/>
              <w:spacing w:before="0" w:after="283"/>
              <w:jc w:val="center"/>
              <w:rPr/>
            </w:pPr>
            <w:r>
              <w:rPr/>
              <w:t>56</w:t>
            </w:r>
          </w:p>
        </w:tc>
      </w:tr>
      <w:tr>
        <w:trPr/>
        <w:tc>
          <w:tcPr>
            <w:tcW w:w="6574" w:type="dxa"/>
            <w:gridSpan w:val="2"/>
            <w:tcBorders/>
            <w:shd w:fill="FFFFFF" w:val="clear"/>
            <w:vAlign w:val="center"/>
          </w:tcPr>
          <w:p>
            <w:pPr>
              <w:pStyle w:val="TableContents"/>
              <w:bidi w:val="0"/>
              <w:spacing w:before="0" w:after="283"/>
              <w:jc w:val="left"/>
              <w:rPr/>
            </w:pPr>
            <w:r>
              <w:rPr/>
              <w:t>Local boards</w:t>
            </w:r>
          </w:p>
        </w:tc>
        <w:tc>
          <w:tcPr>
            <w:tcW w:w="275" w:type="dxa"/>
            <w:tcBorders/>
            <w:shd w:fill="FFFFFF" w:val="clear"/>
            <w:vAlign w:val="center"/>
          </w:tcPr>
          <w:p>
            <w:pPr>
              <w:pStyle w:val="TableContents"/>
              <w:bidi w:val="0"/>
              <w:spacing w:before="0" w:after="283"/>
              <w:jc w:val="center"/>
              <w:rPr/>
            </w:pPr>
            <w:r>
              <w:rPr/>
              <w:t>57</w:t>
            </w:r>
          </w:p>
        </w:tc>
      </w:tr>
      <w:tr>
        <w:trPr/>
        <w:tc>
          <w:tcPr>
            <w:tcW w:w="6574" w:type="dxa"/>
            <w:gridSpan w:val="2"/>
            <w:tcBorders/>
            <w:shd w:fill="CCEEFF" w:val="clear"/>
            <w:vAlign w:val="center"/>
          </w:tcPr>
          <w:p>
            <w:pPr>
              <w:pStyle w:val="TableContents"/>
              <w:bidi w:val="0"/>
              <w:spacing w:before="0" w:after="283"/>
              <w:jc w:val="left"/>
              <w:rPr/>
            </w:pPr>
            <w:r>
              <w:rPr/>
              <w:t>Power to appoint an agent of the Company</w:t>
            </w:r>
          </w:p>
        </w:tc>
        <w:tc>
          <w:tcPr>
            <w:tcW w:w="275" w:type="dxa"/>
            <w:tcBorders/>
            <w:shd w:fill="CCEEFF" w:val="clear"/>
            <w:vAlign w:val="center"/>
          </w:tcPr>
          <w:p>
            <w:pPr>
              <w:pStyle w:val="TableContents"/>
              <w:bidi w:val="0"/>
              <w:spacing w:before="0" w:after="283"/>
              <w:jc w:val="center"/>
              <w:rPr/>
            </w:pPr>
            <w:r>
              <w:rPr/>
              <w:t>57</w:t>
            </w:r>
          </w:p>
        </w:tc>
      </w:tr>
      <w:tr>
        <w:trPr/>
        <w:tc>
          <w:tcPr>
            <w:tcW w:w="6574" w:type="dxa"/>
            <w:gridSpan w:val="2"/>
            <w:tcBorders/>
            <w:shd w:fill="FFFFFF" w:val="clear"/>
            <w:vAlign w:val="center"/>
          </w:tcPr>
          <w:p>
            <w:pPr>
              <w:pStyle w:val="TableContents"/>
              <w:bidi w:val="0"/>
              <w:spacing w:before="0" w:after="283"/>
              <w:jc w:val="left"/>
              <w:rPr/>
            </w:pPr>
            <w:r>
              <w:rPr/>
              <w:t>Power to appoint an attorney or authorised signatory of the Company</w:t>
            </w:r>
          </w:p>
        </w:tc>
        <w:tc>
          <w:tcPr>
            <w:tcW w:w="275" w:type="dxa"/>
            <w:tcBorders/>
            <w:shd w:fill="FFFFFF" w:val="clear"/>
            <w:vAlign w:val="center"/>
          </w:tcPr>
          <w:p>
            <w:pPr>
              <w:pStyle w:val="TableContents"/>
              <w:bidi w:val="0"/>
              <w:spacing w:before="0" w:after="283"/>
              <w:jc w:val="center"/>
              <w:rPr/>
            </w:pPr>
            <w:r>
              <w:rPr/>
              <w:t>57</w:t>
            </w:r>
          </w:p>
        </w:tc>
      </w:tr>
      <w:tr>
        <w:trPr/>
        <w:tc>
          <w:tcPr>
            <w:tcW w:w="6574" w:type="dxa"/>
            <w:gridSpan w:val="2"/>
            <w:tcBorders/>
            <w:shd w:fill="CCEEFF" w:val="clear"/>
            <w:vAlign w:val="center"/>
          </w:tcPr>
          <w:p>
            <w:pPr>
              <w:pStyle w:val="TableContents"/>
              <w:bidi w:val="0"/>
              <w:spacing w:before="0" w:after="283"/>
              <w:jc w:val="left"/>
              <w:rPr/>
            </w:pPr>
            <w:r>
              <w:rPr/>
              <w:t>Borrowing Powers</w:t>
            </w:r>
          </w:p>
        </w:tc>
        <w:tc>
          <w:tcPr>
            <w:tcW w:w="275" w:type="dxa"/>
            <w:tcBorders/>
            <w:shd w:fill="CCEEFF" w:val="clear"/>
            <w:vAlign w:val="center"/>
          </w:tcPr>
          <w:p>
            <w:pPr>
              <w:pStyle w:val="TableContents"/>
              <w:bidi w:val="0"/>
              <w:spacing w:before="0" w:after="283"/>
              <w:jc w:val="center"/>
              <w:rPr/>
            </w:pPr>
            <w:r>
              <w:rPr/>
              <w:t>58</w:t>
            </w:r>
          </w:p>
        </w:tc>
      </w:tr>
      <w:tr>
        <w:trPr/>
        <w:tc>
          <w:tcPr>
            <w:tcW w:w="6574" w:type="dxa"/>
            <w:gridSpan w:val="2"/>
            <w:tcBorders/>
            <w:shd w:fill="FFFFFF" w:val="clear"/>
            <w:vAlign w:val="center"/>
          </w:tcPr>
          <w:p>
            <w:pPr>
              <w:pStyle w:val="TableContents"/>
              <w:bidi w:val="0"/>
              <w:spacing w:before="0" w:after="283"/>
              <w:jc w:val="left"/>
              <w:rPr/>
            </w:pPr>
            <w:r>
              <w:rPr/>
              <w:t>Corporate Governance</w:t>
            </w:r>
          </w:p>
        </w:tc>
        <w:tc>
          <w:tcPr>
            <w:tcW w:w="275" w:type="dxa"/>
            <w:tcBorders/>
            <w:shd w:fill="FFFFFF" w:val="clear"/>
            <w:vAlign w:val="center"/>
          </w:tcPr>
          <w:p>
            <w:pPr>
              <w:pStyle w:val="TableContents"/>
              <w:bidi w:val="0"/>
              <w:spacing w:before="0" w:after="283"/>
              <w:jc w:val="center"/>
              <w:rPr/>
            </w:pPr>
            <w:r>
              <w:rPr/>
              <w:t>58</w:t>
            </w:r>
          </w:p>
        </w:tc>
      </w:tr>
      <w:tr>
        <w:trPr/>
        <w:tc>
          <w:tcPr>
            <w:tcW w:w="6574"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left"/>
              <w:rPr>
                <w:b/>
              </w:rPr>
            </w:pPr>
            <w:r>
              <w:rPr>
                <w:b/>
              </w:rPr>
              <w:t>20</w:t>
            </w:r>
          </w:p>
        </w:tc>
        <w:tc>
          <w:tcPr>
            <w:tcW w:w="5703" w:type="dxa"/>
            <w:tcBorders/>
            <w:shd w:fill="FFFFFF" w:val="clear"/>
            <w:vAlign w:val="center"/>
          </w:tcPr>
          <w:p>
            <w:pPr>
              <w:pStyle w:val="TableContents"/>
              <w:bidi w:val="0"/>
              <w:spacing w:before="0" w:after="283"/>
              <w:jc w:val="left"/>
              <w:rPr>
                <w:b/>
              </w:rPr>
            </w:pPr>
            <w:r>
              <w:rPr>
                <w:b/>
              </w:rPr>
              <w:t>Meetings of Directors</w:t>
            </w:r>
          </w:p>
        </w:tc>
        <w:tc>
          <w:tcPr>
            <w:tcW w:w="275" w:type="dxa"/>
            <w:tcBorders/>
            <w:shd w:fill="FFFFFF" w:val="clear"/>
            <w:vAlign w:val="center"/>
          </w:tcPr>
          <w:p>
            <w:pPr>
              <w:pStyle w:val="TableContents"/>
              <w:bidi w:val="0"/>
              <w:spacing w:before="0" w:after="283"/>
              <w:jc w:val="center"/>
              <w:rPr>
                <w:b/>
              </w:rPr>
            </w:pPr>
            <w:r>
              <w:rPr>
                <w:b/>
              </w:rPr>
              <w:t>58</w:t>
            </w:r>
          </w:p>
        </w:tc>
      </w:tr>
      <w:tr>
        <w:trPr/>
        <w:tc>
          <w:tcPr>
            <w:tcW w:w="6574" w:type="dxa"/>
            <w:gridSpan w:val="2"/>
            <w:tcBorders/>
            <w:shd w:fill="CCEEFF" w:val="clear"/>
            <w:vAlign w:val="center"/>
          </w:tcPr>
          <w:p>
            <w:pPr>
              <w:pStyle w:val="TableContents"/>
              <w:bidi w:val="0"/>
              <w:spacing w:before="0" w:after="283"/>
              <w:jc w:val="left"/>
              <w:rPr/>
            </w:pPr>
            <w:r>
              <w:rPr/>
              <w:t>Regulation of Directors’ meetings</w:t>
            </w:r>
          </w:p>
        </w:tc>
        <w:tc>
          <w:tcPr>
            <w:tcW w:w="275" w:type="dxa"/>
            <w:tcBorders/>
            <w:shd w:fill="CCEEFF" w:val="clear"/>
            <w:vAlign w:val="center"/>
          </w:tcPr>
          <w:p>
            <w:pPr>
              <w:pStyle w:val="TableContents"/>
              <w:bidi w:val="0"/>
              <w:spacing w:before="0" w:after="283"/>
              <w:jc w:val="center"/>
              <w:rPr/>
            </w:pPr>
            <w:r>
              <w:rPr/>
              <w:t>58</w:t>
            </w:r>
          </w:p>
        </w:tc>
      </w:tr>
      <w:tr>
        <w:trPr/>
        <w:tc>
          <w:tcPr>
            <w:tcW w:w="6574" w:type="dxa"/>
            <w:gridSpan w:val="2"/>
            <w:tcBorders/>
            <w:shd w:fill="FFFFFF" w:val="clear"/>
            <w:vAlign w:val="center"/>
          </w:tcPr>
          <w:p>
            <w:pPr>
              <w:pStyle w:val="TableContents"/>
              <w:bidi w:val="0"/>
              <w:spacing w:before="0" w:after="283"/>
              <w:jc w:val="left"/>
              <w:rPr/>
            </w:pPr>
            <w:r>
              <w:rPr/>
              <w:t>Calling meetings</w:t>
            </w:r>
          </w:p>
        </w:tc>
        <w:tc>
          <w:tcPr>
            <w:tcW w:w="275" w:type="dxa"/>
            <w:tcBorders/>
            <w:shd w:fill="FFFFFF" w:val="clear"/>
            <w:vAlign w:val="center"/>
          </w:tcPr>
          <w:p>
            <w:pPr>
              <w:pStyle w:val="TableContents"/>
              <w:bidi w:val="0"/>
              <w:spacing w:before="0" w:after="283"/>
              <w:jc w:val="center"/>
              <w:rPr/>
            </w:pPr>
            <w:r>
              <w:rPr/>
              <w:t>58</w:t>
            </w:r>
          </w:p>
        </w:tc>
      </w:tr>
      <w:tr>
        <w:trPr/>
        <w:tc>
          <w:tcPr>
            <w:tcW w:w="6574" w:type="dxa"/>
            <w:gridSpan w:val="2"/>
            <w:tcBorders/>
            <w:shd w:fill="CCEEFF" w:val="clear"/>
            <w:vAlign w:val="center"/>
          </w:tcPr>
          <w:p>
            <w:pPr>
              <w:pStyle w:val="TableContents"/>
              <w:bidi w:val="0"/>
              <w:spacing w:before="0" w:after="283"/>
              <w:jc w:val="left"/>
              <w:rPr/>
            </w:pPr>
            <w:r>
              <w:rPr/>
              <w:t>Notice of meetings</w:t>
            </w:r>
          </w:p>
        </w:tc>
        <w:tc>
          <w:tcPr>
            <w:tcW w:w="275" w:type="dxa"/>
            <w:tcBorders/>
            <w:shd w:fill="CCEEFF" w:val="clear"/>
            <w:vAlign w:val="center"/>
          </w:tcPr>
          <w:p>
            <w:pPr>
              <w:pStyle w:val="TableContents"/>
              <w:bidi w:val="0"/>
              <w:spacing w:before="0" w:after="283"/>
              <w:jc w:val="center"/>
              <w:rPr/>
            </w:pPr>
            <w:r>
              <w:rPr/>
              <w:t>59</w:t>
            </w:r>
          </w:p>
        </w:tc>
      </w:tr>
      <w:tr>
        <w:trPr/>
        <w:tc>
          <w:tcPr>
            <w:tcW w:w="6574" w:type="dxa"/>
            <w:gridSpan w:val="2"/>
            <w:tcBorders/>
            <w:shd w:fill="FFFFFF" w:val="clear"/>
            <w:vAlign w:val="center"/>
          </w:tcPr>
          <w:p>
            <w:pPr>
              <w:pStyle w:val="TableContents"/>
              <w:bidi w:val="0"/>
              <w:spacing w:before="0" w:after="283"/>
              <w:jc w:val="left"/>
              <w:rPr/>
            </w:pPr>
            <w:r>
              <w:rPr/>
              <w:t>Use of technology</w:t>
            </w:r>
          </w:p>
        </w:tc>
        <w:tc>
          <w:tcPr>
            <w:tcW w:w="275" w:type="dxa"/>
            <w:tcBorders/>
            <w:shd w:fill="FFFFFF" w:val="clear"/>
            <w:vAlign w:val="center"/>
          </w:tcPr>
          <w:p>
            <w:pPr>
              <w:pStyle w:val="TableContents"/>
              <w:bidi w:val="0"/>
              <w:spacing w:before="0" w:after="283"/>
              <w:jc w:val="center"/>
              <w:rPr/>
            </w:pPr>
            <w:r>
              <w:rPr/>
              <w:t>59</w:t>
            </w:r>
          </w:p>
        </w:tc>
      </w:tr>
      <w:tr>
        <w:trPr/>
        <w:tc>
          <w:tcPr>
            <w:tcW w:w="6574" w:type="dxa"/>
            <w:gridSpan w:val="2"/>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jc w:val="center"/>
              <w:rPr/>
            </w:pPr>
            <w:r>
              <w:rPr/>
              <w:t>59</w:t>
            </w:r>
          </w:p>
        </w:tc>
      </w:tr>
      <w:tr>
        <w:trPr/>
        <w:tc>
          <w:tcPr>
            <w:tcW w:w="6574" w:type="dxa"/>
            <w:gridSpan w:val="2"/>
            <w:tcBorders/>
            <w:shd w:fill="FFFFFF" w:val="clear"/>
            <w:vAlign w:val="center"/>
          </w:tcPr>
          <w:p>
            <w:pPr>
              <w:pStyle w:val="TableContents"/>
              <w:bidi w:val="0"/>
              <w:spacing w:before="0" w:after="283"/>
              <w:jc w:val="left"/>
              <w:rPr/>
            </w:pPr>
            <w:r>
              <w:rPr/>
              <w:t>Chairman or deputy to preside</w:t>
            </w:r>
          </w:p>
        </w:tc>
        <w:tc>
          <w:tcPr>
            <w:tcW w:w="275" w:type="dxa"/>
            <w:tcBorders/>
            <w:shd w:fill="FFFFFF" w:val="clear"/>
            <w:vAlign w:val="center"/>
          </w:tcPr>
          <w:p>
            <w:pPr>
              <w:pStyle w:val="TableContents"/>
              <w:bidi w:val="0"/>
              <w:spacing w:before="0" w:after="283"/>
              <w:jc w:val="center"/>
              <w:rPr/>
            </w:pPr>
            <w:r>
              <w:rPr/>
              <w:t>59</w:t>
            </w:r>
          </w:p>
        </w:tc>
      </w:tr>
      <w:tr>
        <w:trPr/>
        <w:tc>
          <w:tcPr>
            <w:tcW w:w="6574" w:type="dxa"/>
            <w:gridSpan w:val="2"/>
            <w:tcBorders/>
            <w:shd w:fill="CCEEFF" w:val="clear"/>
            <w:vAlign w:val="center"/>
          </w:tcPr>
          <w:p>
            <w:pPr>
              <w:pStyle w:val="TableContents"/>
              <w:bidi w:val="0"/>
              <w:spacing w:before="0" w:after="283"/>
              <w:jc w:val="left"/>
              <w:rPr/>
            </w:pPr>
            <w:r>
              <w:rPr/>
              <w:t>Voting</w:t>
            </w:r>
          </w:p>
        </w:tc>
        <w:tc>
          <w:tcPr>
            <w:tcW w:w="275" w:type="dxa"/>
            <w:tcBorders/>
            <w:shd w:fill="CCEEFF" w:val="clear"/>
            <w:vAlign w:val="center"/>
          </w:tcPr>
          <w:p>
            <w:pPr>
              <w:pStyle w:val="TableContents"/>
              <w:bidi w:val="0"/>
              <w:spacing w:before="0" w:after="283"/>
              <w:jc w:val="center"/>
              <w:rPr/>
            </w:pPr>
            <w:r>
              <w:rPr/>
              <w:t>59</w:t>
            </w:r>
          </w:p>
        </w:tc>
      </w:tr>
      <w:tr>
        <w:trPr/>
        <w:tc>
          <w:tcPr>
            <w:tcW w:w="6574" w:type="dxa"/>
            <w:gridSpan w:val="2"/>
            <w:tcBorders/>
            <w:shd w:fill="FFFFFF" w:val="clear"/>
            <w:vAlign w:val="center"/>
          </w:tcPr>
          <w:p>
            <w:pPr>
              <w:pStyle w:val="TableContents"/>
              <w:bidi w:val="0"/>
              <w:spacing w:before="0" w:after="283"/>
              <w:jc w:val="left"/>
              <w:rPr/>
            </w:pPr>
            <w:r>
              <w:rPr/>
              <w:t>Recording of dissent</w:t>
            </w:r>
          </w:p>
        </w:tc>
        <w:tc>
          <w:tcPr>
            <w:tcW w:w="275" w:type="dxa"/>
            <w:tcBorders/>
            <w:shd w:fill="FFFFFF" w:val="clear"/>
            <w:vAlign w:val="center"/>
          </w:tcPr>
          <w:p>
            <w:pPr>
              <w:pStyle w:val="TableContents"/>
              <w:bidi w:val="0"/>
              <w:spacing w:before="0" w:after="283"/>
              <w:jc w:val="center"/>
              <w:rPr/>
            </w:pPr>
            <w:r>
              <w:rPr/>
              <w:t>59</w:t>
            </w:r>
          </w:p>
        </w:tc>
      </w:tr>
      <w:tr>
        <w:trPr/>
        <w:tc>
          <w:tcPr>
            <w:tcW w:w="6574" w:type="dxa"/>
            <w:gridSpan w:val="2"/>
            <w:tcBorders/>
            <w:shd w:fill="CCEEFF" w:val="clear"/>
            <w:vAlign w:val="center"/>
          </w:tcPr>
          <w:p>
            <w:pPr>
              <w:pStyle w:val="TableContents"/>
              <w:bidi w:val="0"/>
              <w:spacing w:before="0" w:after="283"/>
              <w:jc w:val="left"/>
              <w:rPr/>
            </w:pPr>
            <w:r>
              <w:rPr/>
              <w:t>Written resolutions</w:t>
            </w:r>
          </w:p>
        </w:tc>
        <w:tc>
          <w:tcPr>
            <w:tcW w:w="275" w:type="dxa"/>
            <w:tcBorders/>
            <w:shd w:fill="CCEEFF" w:val="clear"/>
            <w:vAlign w:val="center"/>
          </w:tcPr>
          <w:p>
            <w:pPr>
              <w:pStyle w:val="TableContents"/>
              <w:bidi w:val="0"/>
              <w:spacing w:before="0" w:after="283"/>
              <w:jc w:val="center"/>
              <w:rPr/>
            </w:pPr>
            <w:r>
              <w:rPr/>
              <w:t>60</w:t>
            </w:r>
          </w:p>
        </w:tc>
      </w:tr>
      <w:tr>
        <w:trPr/>
        <w:tc>
          <w:tcPr>
            <w:tcW w:w="6574" w:type="dxa"/>
            <w:gridSpan w:val="2"/>
            <w:tcBorders/>
            <w:shd w:fill="FFFFFF" w:val="clear"/>
            <w:vAlign w:val="center"/>
          </w:tcPr>
          <w:p>
            <w:pPr>
              <w:pStyle w:val="TableContents"/>
              <w:bidi w:val="0"/>
              <w:spacing w:before="0" w:after="283"/>
              <w:jc w:val="left"/>
              <w:rPr/>
            </w:pPr>
            <w:r>
              <w:rPr/>
              <w:t>Validity of acts of Directors in spite of formal defect</w:t>
            </w:r>
          </w:p>
        </w:tc>
        <w:tc>
          <w:tcPr>
            <w:tcW w:w="275" w:type="dxa"/>
            <w:tcBorders/>
            <w:shd w:fill="FFFFFF" w:val="clear"/>
            <w:vAlign w:val="center"/>
          </w:tcPr>
          <w:p>
            <w:pPr>
              <w:pStyle w:val="TableContents"/>
              <w:bidi w:val="0"/>
              <w:spacing w:before="0" w:after="283"/>
              <w:jc w:val="center"/>
              <w:rPr/>
            </w:pPr>
            <w:r>
              <w:rPr/>
              <w:t>60</w:t>
            </w:r>
          </w:p>
        </w:tc>
      </w:tr>
      <w:tr>
        <w:trPr/>
        <w:tc>
          <w:tcPr>
            <w:tcW w:w="6574"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left"/>
              <w:rPr>
                <w:b/>
              </w:rPr>
            </w:pPr>
            <w:r>
              <w:rPr>
                <w:b/>
              </w:rPr>
              <w:t>21</w:t>
            </w:r>
          </w:p>
        </w:tc>
        <w:tc>
          <w:tcPr>
            <w:tcW w:w="5703" w:type="dxa"/>
            <w:tcBorders/>
            <w:shd w:fill="FFFFFF" w:val="clear"/>
            <w:vAlign w:val="center"/>
          </w:tcPr>
          <w:p>
            <w:pPr>
              <w:pStyle w:val="TableContents"/>
              <w:bidi w:val="0"/>
              <w:spacing w:before="0" w:after="283"/>
              <w:jc w:val="left"/>
              <w:rPr>
                <w:b/>
              </w:rPr>
            </w:pPr>
            <w:r>
              <w:rPr>
                <w:b/>
              </w:rPr>
              <w:t>Permissible Directors’ interests and disclosure</w:t>
            </w:r>
          </w:p>
        </w:tc>
        <w:tc>
          <w:tcPr>
            <w:tcW w:w="275" w:type="dxa"/>
            <w:tcBorders/>
            <w:shd w:fill="FFFFFF" w:val="clear"/>
            <w:vAlign w:val="center"/>
          </w:tcPr>
          <w:p>
            <w:pPr>
              <w:pStyle w:val="TableContents"/>
              <w:bidi w:val="0"/>
              <w:spacing w:before="0" w:after="283"/>
              <w:jc w:val="center"/>
              <w:rPr>
                <w:b/>
              </w:rPr>
            </w:pPr>
            <w:r>
              <w:rPr>
                <w:b/>
              </w:rPr>
              <w:t>60</w:t>
            </w:r>
          </w:p>
        </w:tc>
      </w:tr>
      <w:tr>
        <w:trPr/>
        <w:tc>
          <w:tcPr>
            <w:tcW w:w="871" w:type="dxa"/>
            <w:tcBorders/>
            <w:shd w:fill="CCEEFF" w:val="clear"/>
            <w:vAlign w:val="center"/>
          </w:tcPr>
          <w:p>
            <w:pPr>
              <w:pStyle w:val="TableContents"/>
              <w:bidi w:val="0"/>
              <w:spacing w:before="0" w:after="283"/>
              <w:jc w:val="left"/>
              <w:rPr/>
            </w:pPr>
            <w:r>
              <w:rPr/>
              <w:t> </w:t>
            </w:r>
          </w:p>
        </w:tc>
        <w:tc>
          <w:tcPr>
            <w:tcW w:w="570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left"/>
              <w:rPr>
                <w:b/>
              </w:rPr>
            </w:pPr>
            <w:r>
              <w:rPr>
                <w:b/>
              </w:rPr>
              <w:t>22</w:t>
            </w:r>
          </w:p>
        </w:tc>
        <w:tc>
          <w:tcPr>
            <w:tcW w:w="5703" w:type="dxa"/>
            <w:tcBorders/>
            <w:shd w:fill="FFFFFF" w:val="clear"/>
            <w:vAlign w:val="center"/>
          </w:tcPr>
          <w:p>
            <w:pPr>
              <w:pStyle w:val="TableContents"/>
              <w:bidi w:val="0"/>
              <w:spacing w:before="0" w:after="283"/>
              <w:jc w:val="left"/>
              <w:rPr>
                <w:b/>
              </w:rPr>
            </w:pPr>
            <w:r>
              <w:rPr>
                <w:b/>
              </w:rPr>
              <w:t>Minutes</w:t>
            </w:r>
          </w:p>
        </w:tc>
        <w:tc>
          <w:tcPr>
            <w:tcW w:w="275" w:type="dxa"/>
            <w:tcBorders/>
            <w:shd w:fill="FFFFFF" w:val="clear"/>
            <w:vAlign w:val="center"/>
          </w:tcPr>
          <w:p>
            <w:pPr>
              <w:pStyle w:val="TableContents"/>
              <w:bidi w:val="0"/>
              <w:spacing w:before="0" w:after="283"/>
              <w:jc w:val="center"/>
              <w:rPr>
                <w:b/>
              </w:rPr>
            </w:pPr>
            <w:r>
              <w:rPr>
                <w:b/>
              </w:rPr>
              <w:t>61</w:t>
            </w:r>
          </w:p>
        </w:tc>
      </w:tr>
      <w:tr>
        <w:trPr/>
        <w:tc>
          <w:tcPr>
            <w:tcW w:w="871" w:type="dxa"/>
            <w:tcBorders/>
            <w:shd w:fill="CCEEFF" w:val="clear"/>
            <w:vAlign w:val="center"/>
          </w:tcPr>
          <w:p>
            <w:pPr>
              <w:pStyle w:val="TableContents"/>
              <w:bidi w:val="0"/>
              <w:spacing w:before="0" w:after="283"/>
              <w:jc w:val="left"/>
              <w:rPr/>
            </w:pPr>
            <w:r>
              <w:rPr/>
              <w:t> </w:t>
            </w:r>
          </w:p>
        </w:tc>
        <w:tc>
          <w:tcPr>
            <w:tcW w:w="570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left"/>
              <w:rPr>
                <w:b/>
              </w:rPr>
            </w:pPr>
            <w:r>
              <w:rPr>
                <w:b/>
              </w:rPr>
              <w:t>23</w:t>
            </w:r>
          </w:p>
        </w:tc>
        <w:tc>
          <w:tcPr>
            <w:tcW w:w="5703" w:type="dxa"/>
            <w:tcBorders/>
            <w:shd w:fill="FFFFFF" w:val="clear"/>
            <w:vAlign w:val="center"/>
          </w:tcPr>
          <w:p>
            <w:pPr>
              <w:pStyle w:val="TableContents"/>
              <w:bidi w:val="0"/>
              <w:spacing w:before="0" w:after="283"/>
              <w:jc w:val="left"/>
              <w:rPr>
                <w:b/>
              </w:rPr>
            </w:pPr>
            <w:r>
              <w:rPr>
                <w:b/>
              </w:rPr>
              <w:t>Accounts and audit</w:t>
            </w:r>
          </w:p>
        </w:tc>
        <w:tc>
          <w:tcPr>
            <w:tcW w:w="275" w:type="dxa"/>
            <w:tcBorders/>
            <w:shd w:fill="FFFFFF" w:val="clear"/>
            <w:vAlign w:val="center"/>
          </w:tcPr>
          <w:p>
            <w:pPr>
              <w:pStyle w:val="TableContents"/>
              <w:bidi w:val="0"/>
              <w:spacing w:before="0" w:after="283"/>
              <w:jc w:val="center"/>
              <w:rPr>
                <w:b/>
              </w:rPr>
            </w:pPr>
            <w:r>
              <w:rPr>
                <w:b/>
              </w:rPr>
              <w:t>61</w:t>
            </w:r>
          </w:p>
        </w:tc>
      </w:tr>
      <w:tr>
        <w:trPr/>
        <w:tc>
          <w:tcPr>
            <w:tcW w:w="871" w:type="dxa"/>
            <w:tcBorders/>
            <w:shd w:fill="CCEEFF" w:val="clear"/>
            <w:vAlign w:val="center"/>
          </w:tcPr>
          <w:p>
            <w:pPr>
              <w:pStyle w:val="TableContents"/>
              <w:bidi w:val="0"/>
              <w:spacing w:before="0" w:after="283"/>
              <w:jc w:val="left"/>
              <w:rPr/>
            </w:pPr>
            <w:r>
              <w:rPr/>
              <w:t>Auditors</w:t>
            </w:r>
          </w:p>
        </w:tc>
        <w:tc>
          <w:tcPr>
            <w:tcW w:w="570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61</w:t>
            </w:r>
          </w:p>
        </w:tc>
      </w:tr>
      <w:tr>
        <w:trPr/>
        <w:tc>
          <w:tcPr>
            <w:tcW w:w="871" w:type="dxa"/>
            <w:tcBorders/>
            <w:shd w:fill="FFFFFF" w:val="clear"/>
            <w:vAlign w:val="center"/>
          </w:tcPr>
          <w:p>
            <w:pPr>
              <w:pStyle w:val="TableContents"/>
              <w:bidi w:val="0"/>
              <w:spacing w:before="0" w:after="283"/>
              <w:jc w:val="left"/>
              <w:rPr/>
            </w:pPr>
            <w:r>
              <w:rPr/>
              <w:t> </w:t>
            </w:r>
          </w:p>
        </w:tc>
        <w:tc>
          <w:tcPr>
            <w:tcW w:w="5703"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871" w:type="dxa"/>
            <w:tcBorders/>
            <w:shd w:fill="CCEEFF" w:val="clear"/>
            <w:vAlign w:val="center"/>
          </w:tcPr>
          <w:p>
            <w:pPr>
              <w:pStyle w:val="TableContents"/>
              <w:bidi w:val="0"/>
              <w:spacing w:before="0" w:after="283"/>
              <w:jc w:val="left"/>
              <w:rPr>
                <w:b/>
              </w:rPr>
            </w:pPr>
            <w:r>
              <w:rPr>
                <w:b/>
              </w:rPr>
              <w:t>24</w:t>
            </w:r>
          </w:p>
        </w:tc>
        <w:tc>
          <w:tcPr>
            <w:tcW w:w="5703" w:type="dxa"/>
            <w:tcBorders/>
            <w:shd w:fill="CCEEFF" w:val="clear"/>
            <w:vAlign w:val="center"/>
          </w:tcPr>
          <w:p>
            <w:pPr>
              <w:pStyle w:val="TableContents"/>
              <w:bidi w:val="0"/>
              <w:spacing w:before="0" w:after="283"/>
              <w:jc w:val="left"/>
              <w:rPr>
                <w:b/>
              </w:rPr>
            </w:pPr>
            <w:r>
              <w:rPr>
                <w:b/>
              </w:rPr>
              <w:t>Record dates</w:t>
            </w:r>
          </w:p>
        </w:tc>
        <w:tc>
          <w:tcPr>
            <w:tcW w:w="275" w:type="dxa"/>
            <w:tcBorders/>
            <w:shd w:fill="CCEEFF" w:val="clear"/>
            <w:vAlign w:val="center"/>
          </w:tcPr>
          <w:p>
            <w:pPr>
              <w:pStyle w:val="TableContents"/>
              <w:bidi w:val="0"/>
              <w:spacing w:before="0" w:after="283"/>
              <w:jc w:val="center"/>
              <w:rPr>
                <w:b/>
              </w:rPr>
            </w:pPr>
            <w:r>
              <w:rPr>
                <w:b/>
              </w:rPr>
              <w:t>62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283"/>
        <w:jc w:val="left"/>
        <w:rPr/>
      </w:pPr>
      <w:r>
        <w:rPr/>
        <w:t> </w:t>
      </w:r>
    </w:p>
    <w:tbl>
      <w:tblPr>
        <w:tblW w:w="9624" w:type="dxa"/>
        <w:jc w:val="left"/>
        <w:tblInd w:w="0" w:type="dxa"/>
        <w:tblLayout w:type="fixed"/>
        <w:tblCellMar>
          <w:top w:w="0" w:type="dxa"/>
          <w:left w:w="0" w:type="dxa"/>
          <w:bottom w:w="0" w:type="dxa"/>
          <w:right w:w="0" w:type="dxa"/>
        </w:tblCellMar>
      </w:tblPr>
      <w:tblGrid>
        <w:gridCol w:w="558"/>
        <w:gridCol w:w="8791"/>
        <w:gridCol w:w="275"/>
      </w:tblGrid>
      <w:tr>
        <w:trPr/>
        <w:tc>
          <w:tcPr>
            <w:tcW w:w="558" w:type="dxa"/>
            <w:tcBorders/>
            <w:shd w:fill="CCEEFF" w:val="clear"/>
            <w:vAlign w:val="center"/>
          </w:tcPr>
          <w:p>
            <w:pPr>
              <w:pStyle w:val="TableContents"/>
              <w:bidi w:val="0"/>
              <w:spacing w:before="0" w:after="283"/>
              <w:jc w:val="left"/>
              <w:rPr>
                <w:b/>
              </w:rPr>
            </w:pPr>
            <w:r>
              <w:rPr>
                <w:b/>
              </w:rPr>
              <w:t>25</w:t>
            </w:r>
          </w:p>
        </w:tc>
        <w:tc>
          <w:tcPr>
            <w:tcW w:w="8791" w:type="dxa"/>
            <w:tcBorders/>
            <w:shd w:fill="CCEEFF" w:val="clear"/>
            <w:vAlign w:val="center"/>
          </w:tcPr>
          <w:p>
            <w:pPr>
              <w:pStyle w:val="TableContents"/>
              <w:bidi w:val="0"/>
              <w:spacing w:before="0" w:after="283"/>
              <w:jc w:val="left"/>
              <w:rPr>
                <w:b/>
              </w:rPr>
            </w:pPr>
            <w:r>
              <w:rPr>
                <w:b/>
              </w:rPr>
              <w:t>Dividends</w:t>
            </w:r>
          </w:p>
        </w:tc>
        <w:tc>
          <w:tcPr>
            <w:tcW w:w="275" w:type="dxa"/>
            <w:tcBorders/>
            <w:shd w:fill="CCEEFF" w:val="clear"/>
            <w:vAlign w:val="center"/>
          </w:tcPr>
          <w:p>
            <w:pPr>
              <w:pStyle w:val="TableContents"/>
              <w:bidi w:val="0"/>
              <w:spacing w:before="0" w:after="283"/>
              <w:jc w:val="center"/>
              <w:rPr>
                <w:b/>
              </w:rPr>
            </w:pPr>
            <w:r>
              <w:rPr>
                <w:b/>
              </w:rPr>
              <w:t>62</w:t>
            </w:r>
          </w:p>
        </w:tc>
      </w:tr>
      <w:tr>
        <w:trPr/>
        <w:tc>
          <w:tcPr>
            <w:tcW w:w="9349" w:type="dxa"/>
            <w:gridSpan w:val="2"/>
            <w:tcBorders/>
            <w:shd w:fill="FFFFFF" w:val="clear"/>
            <w:vAlign w:val="center"/>
          </w:tcPr>
          <w:p>
            <w:pPr>
              <w:pStyle w:val="TableContents"/>
              <w:bidi w:val="0"/>
              <w:spacing w:before="0" w:after="283"/>
              <w:jc w:val="left"/>
              <w:rPr/>
            </w:pPr>
            <w:r>
              <w:rPr/>
              <w:t>Source of dividends</w:t>
            </w:r>
          </w:p>
        </w:tc>
        <w:tc>
          <w:tcPr>
            <w:tcW w:w="275" w:type="dxa"/>
            <w:tcBorders/>
            <w:shd w:fill="FFFFFF" w:val="clear"/>
            <w:vAlign w:val="center"/>
          </w:tcPr>
          <w:p>
            <w:pPr>
              <w:pStyle w:val="TableContents"/>
              <w:bidi w:val="0"/>
              <w:spacing w:before="0" w:after="283"/>
              <w:jc w:val="center"/>
              <w:rPr/>
            </w:pPr>
            <w:r>
              <w:rPr/>
              <w:t>62</w:t>
            </w:r>
          </w:p>
        </w:tc>
      </w:tr>
      <w:tr>
        <w:trPr/>
        <w:tc>
          <w:tcPr>
            <w:tcW w:w="9349" w:type="dxa"/>
            <w:gridSpan w:val="2"/>
            <w:tcBorders/>
            <w:shd w:fill="CCEEFF" w:val="clear"/>
            <w:vAlign w:val="center"/>
          </w:tcPr>
          <w:p>
            <w:pPr>
              <w:pStyle w:val="TableContents"/>
              <w:bidi w:val="0"/>
              <w:spacing w:before="0" w:after="283"/>
              <w:jc w:val="left"/>
              <w:rPr/>
            </w:pPr>
            <w:r>
              <w:rPr/>
              <w:t>Declaration of dividends by Members</w:t>
            </w:r>
          </w:p>
        </w:tc>
        <w:tc>
          <w:tcPr>
            <w:tcW w:w="275" w:type="dxa"/>
            <w:tcBorders/>
            <w:shd w:fill="CCEEFF" w:val="clear"/>
            <w:vAlign w:val="center"/>
          </w:tcPr>
          <w:p>
            <w:pPr>
              <w:pStyle w:val="TableContents"/>
              <w:bidi w:val="0"/>
              <w:spacing w:before="0" w:after="283"/>
              <w:jc w:val="center"/>
              <w:rPr/>
            </w:pPr>
            <w:r>
              <w:rPr/>
              <w:t>62</w:t>
            </w:r>
          </w:p>
        </w:tc>
      </w:tr>
      <w:tr>
        <w:trPr/>
        <w:tc>
          <w:tcPr>
            <w:tcW w:w="9349" w:type="dxa"/>
            <w:gridSpan w:val="2"/>
            <w:tcBorders/>
            <w:shd w:fill="FFFFFF" w:val="clear"/>
            <w:vAlign w:val="center"/>
          </w:tcPr>
          <w:p>
            <w:pPr>
              <w:pStyle w:val="TableContents"/>
              <w:bidi w:val="0"/>
              <w:spacing w:before="0" w:after="283"/>
              <w:jc w:val="left"/>
              <w:rPr/>
            </w:pPr>
            <w:r>
              <w:rPr/>
              <w:t>Payment of interim dividends and declaration of final dividends by Directors</w:t>
            </w:r>
          </w:p>
        </w:tc>
        <w:tc>
          <w:tcPr>
            <w:tcW w:w="275" w:type="dxa"/>
            <w:tcBorders/>
            <w:shd w:fill="FFFFFF" w:val="clear"/>
            <w:vAlign w:val="center"/>
          </w:tcPr>
          <w:p>
            <w:pPr>
              <w:pStyle w:val="TableContents"/>
              <w:bidi w:val="0"/>
              <w:spacing w:before="0" w:after="283"/>
              <w:jc w:val="center"/>
              <w:rPr/>
            </w:pPr>
            <w:r>
              <w:rPr/>
              <w:t>62</w:t>
            </w:r>
          </w:p>
        </w:tc>
      </w:tr>
      <w:tr>
        <w:trPr/>
        <w:tc>
          <w:tcPr>
            <w:tcW w:w="9349" w:type="dxa"/>
            <w:gridSpan w:val="2"/>
            <w:tcBorders/>
            <w:shd w:fill="CCEEFF" w:val="clear"/>
            <w:vAlign w:val="center"/>
          </w:tcPr>
          <w:p>
            <w:pPr>
              <w:pStyle w:val="TableContents"/>
              <w:bidi w:val="0"/>
              <w:spacing w:before="0" w:after="283"/>
              <w:jc w:val="left"/>
              <w:rPr/>
            </w:pPr>
            <w:r>
              <w:rPr/>
              <w:t>Apportionment of dividends</w:t>
            </w:r>
          </w:p>
        </w:tc>
        <w:tc>
          <w:tcPr>
            <w:tcW w:w="275" w:type="dxa"/>
            <w:tcBorders/>
            <w:shd w:fill="CCEEFF" w:val="clear"/>
            <w:vAlign w:val="center"/>
          </w:tcPr>
          <w:p>
            <w:pPr>
              <w:pStyle w:val="TableContents"/>
              <w:bidi w:val="0"/>
              <w:spacing w:before="0" w:after="283"/>
              <w:jc w:val="center"/>
              <w:rPr/>
            </w:pPr>
            <w:r>
              <w:rPr/>
              <w:t>63</w:t>
            </w:r>
          </w:p>
        </w:tc>
      </w:tr>
      <w:tr>
        <w:trPr/>
        <w:tc>
          <w:tcPr>
            <w:tcW w:w="9349" w:type="dxa"/>
            <w:gridSpan w:val="2"/>
            <w:tcBorders/>
            <w:shd w:fill="FFFFFF" w:val="clear"/>
            <w:vAlign w:val="center"/>
          </w:tcPr>
          <w:p>
            <w:pPr>
              <w:pStyle w:val="TableContents"/>
              <w:bidi w:val="0"/>
              <w:spacing w:before="0" w:after="283"/>
              <w:jc w:val="left"/>
              <w:rPr/>
            </w:pPr>
            <w:r>
              <w:rPr/>
              <w:t>Right of set off</w:t>
            </w:r>
          </w:p>
        </w:tc>
        <w:tc>
          <w:tcPr>
            <w:tcW w:w="275" w:type="dxa"/>
            <w:tcBorders/>
            <w:shd w:fill="FFFFFF" w:val="clear"/>
            <w:vAlign w:val="center"/>
          </w:tcPr>
          <w:p>
            <w:pPr>
              <w:pStyle w:val="TableContents"/>
              <w:bidi w:val="0"/>
              <w:spacing w:before="0" w:after="283"/>
              <w:jc w:val="center"/>
              <w:rPr/>
            </w:pPr>
            <w:r>
              <w:rPr/>
              <w:t>64</w:t>
            </w:r>
          </w:p>
        </w:tc>
      </w:tr>
      <w:tr>
        <w:trPr/>
        <w:tc>
          <w:tcPr>
            <w:tcW w:w="9349" w:type="dxa"/>
            <w:gridSpan w:val="2"/>
            <w:tcBorders/>
            <w:shd w:fill="CCEEFF" w:val="clear"/>
            <w:vAlign w:val="center"/>
          </w:tcPr>
          <w:p>
            <w:pPr>
              <w:pStyle w:val="TableContents"/>
              <w:bidi w:val="0"/>
              <w:spacing w:before="0" w:after="283"/>
              <w:jc w:val="left"/>
              <w:rPr/>
            </w:pPr>
            <w:r>
              <w:rPr/>
              <w:t>Power to pay other than in cash</w:t>
            </w:r>
          </w:p>
        </w:tc>
        <w:tc>
          <w:tcPr>
            <w:tcW w:w="275" w:type="dxa"/>
            <w:tcBorders/>
            <w:shd w:fill="CCEEFF" w:val="clear"/>
            <w:vAlign w:val="center"/>
          </w:tcPr>
          <w:p>
            <w:pPr>
              <w:pStyle w:val="TableContents"/>
              <w:bidi w:val="0"/>
              <w:spacing w:before="0" w:after="283"/>
              <w:jc w:val="center"/>
              <w:rPr/>
            </w:pPr>
            <w:r>
              <w:rPr/>
              <w:t>64</w:t>
            </w:r>
          </w:p>
        </w:tc>
      </w:tr>
      <w:tr>
        <w:trPr/>
        <w:tc>
          <w:tcPr>
            <w:tcW w:w="9349" w:type="dxa"/>
            <w:gridSpan w:val="2"/>
            <w:tcBorders/>
            <w:shd w:fill="FFFFFF" w:val="clear"/>
            <w:vAlign w:val="center"/>
          </w:tcPr>
          <w:p>
            <w:pPr>
              <w:pStyle w:val="TableContents"/>
              <w:bidi w:val="0"/>
              <w:spacing w:before="0" w:after="283"/>
              <w:jc w:val="left"/>
              <w:rPr/>
            </w:pPr>
            <w:r>
              <w:rPr/>
              <w:t>How payments may be made</w:t>
            </w:r>
          </w:p>
        </w:tc>
        <w:tc>
          <w:tcPr>
            <w:tcW w:w="275" w:type="dxa"/>
            <w:tcBorders/>
            <w:shd w:fill="FFFFFF" w:val="clear"/>
            <w:vAlign w:val="center"/>
          </w:tcPr>
          <w:p>
            <w:pPr>
              <w:pStyle w:val="TableContents"/>
              <w:bidi w:val="0"/>
              <w:spacing w:before="0" w:after="283"/>
              <w:jc w:val="center"/>
              <w:rPr/>
            </w:pPr>
            <w:r>
              <w:rPr/>
              <w:t>64</w:t>
            </w:r>
          </w:p>
        </w:tc>
      </w:tr>
      <w:tr>
        <w:trPr/>
        <w:tc>
          <w:tcPr>
            <w:tcW w:w="9349" w:type="dxa"/>
            <w:gridSpan w:val="2"/>
            <w:tcBorders/>
            <w:shd w:fill="CCEEFF" w:val="clear"/>
            <w:vAlign w:val="center"/>
          </w:tcPr>
          <w:p>
            <w:pPr>
              <w:pStyle w:val="TableContents"/>
              <w:bidi w:val="0"/>
              <w:spacing w:before="0" w:after="283"/>
              <w:jc w:val="left"/>
              <w:rPr/>
            </w:pPr>
            <w:r>
              <w:rPr/>
              <w:t>Dividends or other monies not to bear interest in absence of special rights</w:t>
            </w:r>
          </w:p>
        </w:tc>
        <w:tc>
          <w:tcPr>
            <w:tcW w:w="275" w:type="dxa"/>
            <w:tcBorders/>
            <w:shd w:fill="CCEEFF" w:val="clear"/>
            <w:vAlign w:val="center"/>
          </w:tcPr>
          <w:p>
            <w:pPr>
              <w:pStyle w:val="TableContents"/>
              <w:bidi w:val="0"/>
              <w:spacing w:before="0" w:after="283"/>
              <w:jc w:val="center"/>
              <w:rPr/>
            </w:pPr>
            <w:r>
              <w:rPr/>
              <w:t>65</w:t>
            </w:r>
          </w:p>
        </w:tc>
      </w:tr>
      <w:tr>
        <w:trPr/>
        <w:tc>
          <w:tcPr>
            <w:tcW w:w="9349" w:type="dxa"/>
            <w:gridSpan w:val="2"/>
            <w:tcBorders/>
            <w:shd w:fill="FFFFFF" w:val="clear"/>
            <w:vAlign w:val="center"/>
          </w:tcPr>
          <w:p>
            <w:pPr>
              <w:pStyle w:val="TableContents"/>
              <w:bidi w:val="0"/>
              <w:spacing w:before="0" w:after="283"/>
              <w:jc w:val="left"/>
              <w:rPr/>
            </w:pPr>
            <w:r>
              <w:rPr/>
              <w:t>Dividends unable to be paid or unclaimed</w:t>
            </w:r>
          </w:p>
        </w:tc>
        <w:tc>
          <w:tcPr>
            <w:tcW w:w="275" w:type="dxa"/>
            <w:tcBorders/>
            <w:shd w:fill="FFFFFF" w:val="clear"/>
            <w:vAlign w:val="center"/>
          </w:tcPr>
          <w:p>
            <w:pPr>
              <w:pStyle w:val="TableContents"/>
              <w:bidi w:val="0"/>
              <w:spacing w:before="0" w:after="283"/>
              <w:jc w:val="center"/>
              <w:rPr/>
            </w:pPr>
            <w:r>
              <w:rPr/>
              <w:t>65</w:t>
            </w:r>
          </w:p>
        </w:tc>
      </w:tr>
      <w:tr>
        <w:trPr/>
        <w:tc>
          <w:tcPr>
            <w:tcW w:w="934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8" w:type="dxa"/>
            <w:tcBorders/>
            <w:shd w:fill="FFFFFF" w:val="clear"/>
            <w:vAlign w:val="center"/>
          </w:tcPr>
          <w:p>
            <w:pPr>
              <w:pStyle w:val="TableContents"/>
              <w:bidi w:val="0"/>
              <w:spacing w:before="0" w:after="283"/>
              <w:jc w:val="left"/>
              <w:rPr>
                <w:b/>
              </w:rPr>
            </w:pPr>
            <w:r>
              <w:rPr>
                <w:b/>
              </w:rPr>
              <w:t>26</w:t>
            </w:r>
          </w:p>
        </w:tc>
        <w:tc>
          <w:tcPr>
            <w:tcW w:w="8791" w:type="dxa"/>
            <w:tcBorders/>
            <w:shd w:fill="FFFFFF" w:val="clear"/>
            <w:vAlign w:val="center"/>
          </w:tcPr>
          <w:p>
            <w:pPr>
              <w:pStyle w:val="TableContents"/>
              <w:bidi w:val="0"/>
              <w:spacing w:before="0" w:after="283"/>
              <w:jc w:val="left"/>
              <w:rPr>
                <w:b/>
              </w:rPr>
            </w:pPr>
            <w:r>
              <w:rPr>
                <w:b/>
              </w:rPr>
              <w:t>Capitalisation of profits</w:t>
            </w:r>
          </w:p>
        </w:tc>
        <w:tc>
          <w:tcPr>
            <w:tcW w:w="275" w:type="dxa"/>
            <w:tcBorders/>
            <w:shd w:fill="FFFFFF" w:val="clear"/>
            <w:vAlign w:val="center"/>
          </w:tcPr>
          <w:p>
            <w:pPr>
              <w:pStyle w:val="TableContents"/>
              <w:bidi w:val="0"/>
              <w:spacing w:before="0" w:after="283"/>
              <w:jc w:val="center"/>
              <w:rPr>
                <w:b/>
              </w:rPr>
            </w:pPr>
            <w:r>
              <w:rPr>
                <w:b/>
              </w:rPr>
              <w:t>65</w:t>
            </w:r>
          </w:p>
        </w:tc>
      </w:tr>
      <w:tr>
        <w:trPr/>
        <w:tc>
          <w:tcPr>
            <w:tcW w:w="9349" w:type="dxa"/>
            <w:gridSpan w:val="2"/>
            <w:tcBorders/>
            <w:shd w:fill="CCEEFF" w:val="clear"/>
            <w:vAlign w:val="center"/>
          </w:tcPr>
          <w:p>
            <w:pPr>
              <w:pStyle w:val="TableContents"/>
              <w:bidi w:val="0"/>
              <w:spacing w:before="0" w:after="283"/>
              <w:jc w:val="left"/>
              <w:rPr/>
            </w:pPr>
            <w:r>
              <w:rPr/>
              <w:t>Capitalisation of profits or of any share premium account or capital redemption reserve;</w:t>
            </w:r>
          </w:p>
        </w:tc>
        <w:tc>
          <w:tcPr>
            <w:tcW w:w="275" w:type="dxa"/>
            <w:tcBorders/>
            <w:shd w:fill="CCEEFF" w:val="clear"/>
            <w:vAlign w:val="center"/>
          </w:tcPr>
          <w:p>
            <w:pPr>
              <w:pStyle w:val="TableContents"/>
              <w:bidi w:val="0"/>
              <w:spacing w:before="0" w:after="283"/>
              <w:jc w:val="center"/>
              <w:rPr/>
            </w:pPr>
            <w:r>
              <w:rPr/>
              <w:t>65</w:t>
            </w:r>
          </w:p>
        </w:tc>
      </w:tr>
      <w:tr>
        <w:trPr/>
        <w:tc>
          <w:tcPr>
            <w:tcW w:w="9349" w:type="dxa"/>
            <w:gridSpan w:val="2"/>
            <w:tcBorders/>
            <w:shd w:fill="FFFFFF" w:val="clear"/>
            <w:vAlign w:val="center"/>
          </w:tcPr>
          <w:p>
            <w:pPr>
              <w:pStyle w:val="TableContents"/>
              <w:bidi w:val="0"/>
              <w:spacing w:before="0" w:after="283"/>
              <w:jc w:val="left"/>
              <w:rPr/>
            </w:pPr>
            <w:r>
              <w:rPr/>
              <w:t>Applying an amount for the benefit of Members</w:t>
            </w:r>
          </w:p>
        </w:tc>
        <w:tc>
          <w:tcPr>
            <w:tcW w:w="275" w:type="dxa"/>
            <w:tcBorders/>
            <w:shd w:fill="FFFFFF" w:val="clear"/>
            <w:vAlign w:val="center"/>
          </w:tcPr>
          <w:p>
            <w:pPr>
              <w:pStyle w:val="TableContents"/>
              <w:bidi w:val="0"/>
              <w:spacing w:before="0" w:after="283"/>
              <w:jc w:val="center"/>
              <w:rPr/>
            </w:pPr>
            <w:r>
              <w:rPr/>
              <w:t>66</w:t>
            </w:r>
          </w:p>
        </w:tc>
      </w:tr>
      <w:tr>
        <w:trPr/>
        <w:tc>
          <w:tcPr>
            <w:tcW w:w="934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8" w:type="dxa"/>
            <w:tcBorders/>
            <w:shd w:fill="FFFFFF" w:val="clear"/>
            <w:vAlign w:val="center"/>
          </w:tcPr>
          <w:p>
            <w:pPr>
              <w:pStyle w:val="TableContents"/>
              <w:bidi w:val="0"/>
              <w:spacing w:before="0" w:after="283"/>
              <w:jc w:val="left"/>
              <w:rPr>
                <w:b/>
              </w:rPr>
            </w:pPr>
            <w:r>
              <w:rPr>
                <w:b/>
              </w:rPr>
              <w:t>27</w:t>
            </w:r>
          </w:p>
        </w:tc>
        <w:tc>
          <w:tcPr>
            <w:tcW w:w="8791" w:type="dxa"/>
            <w:tcBorders/>
            <w:shd w:fill="FFFFFF" w:val="clear"/>
            <w:vAlign w:val="center"/>
          </w:tcPr>
          <w:p>
            <w:pPr>
              <w:pStyle w:val="TableContents"/>
              <w:bidi w:val="0"/>
              <w:spacing w:before="0" w:after="283"/>
              <w:jc w:val="left"/>
              <w:rPr>
                <w:b/>
              </w:rPr>
            </w:pPr>
            <w:r>
              <w:rPr>
                <w:b/>
              </w:rPr>
              <w:t>Share Premium Account</w:t>
            </w:r>
          </w:p>
        </w:tc>
        <w:tc>
          <w:tcPr>
            <w:tcW w:w="275" w:type="dxa"/>
            <w:tcBorders/>
            <w:shd w:fill="FFFFFF" w:val="clear"/>
            <w:vAlign w:val="center"/>
          </w:tcPr>
          <w:p>
            <w:pPr>
              <w:pStyle w:val="TableContents"/>
              <w:bidi w:val="0"/>
              <w:spacing w:before="0" w:after="283"/>
              <w:jc w:val="center"/>
              <w:rPr>
                <w:b/>
              </w:rPr>
            </w:pPr>
            <w:r>
              <w:rPr>
                <w:b/>
              </w:rPr>
              <w:t>66</w:t>
            </w:r>
          </w:p>
        </w:tc>
      </w:tr>
      <w:tr>
        <w:trPr/>
        <w:tc>
          <w:tcPr>
            <w:tcW w:w="9349" w:type="dxa"/>
            <w:gridSpan w:val="2"/>
            <w:tcBorders/>
            <w:shd w:fill="CCEEFF" w:val="clear"/>
            <w:vAlign w:val="center"/>
          </w:tcPr>
          <w:p>
            <w:pPr>
              <w:pStyle w:val="TableContents"/>
              <w:bidi w:val="0"/>
              <w:spacing w:before="0" w:after="283"/>
              <w:jc w:val="left"/>
              <w:rPr/>
            </w:pPr>
            <w:r>
              <w:rPr/>
              <w:t>Directors to maintain share premium account</w:t>
            </w:r>
          </w:p>
        </w:tc>
        <w:tc>
          <w:tcPr>
            <w:tcW w:w="275" w:type="dxa"/>
            <w:tcBorders/>
            <w:shd w:fill="CCEEFF" w:val="clear"/>
            <w:vAlign w:val="center"/>
          </w:tcPr>
          <w:p>
            <w:pPr>
              <w:pStyle w:val="TableContents"/>
              <w:bidi w:val="0"/>
              <w:spacing w:before="0" w:after="283"/>
              <w:jc w:val="center"/>
              <w:rPr/>
            </w:pPr>
            <w:r>
              <w:rPr/>
              <w:t>66</w:t>
            </w:r>
          </w:p>
        </w:tc>
      </w:tr>
      <w:tr>
        <w:trPr/>
        <w:tc>
          <w:tcPr>
            <w:tcW w:w="9349" w:type="dxa"/>
            <w:gridSpan w:val="2"/>
            <w:tcBorders/>
            <w:shd w:fill="FFFFFF" w:val="clear"/>
            <w:vAlign w:val="center"/>
          </w:tcPr>
          <w:p>
            <w:pPr>
              <w:pStyle w:val="TableContents"/>
              <w:bidi w:val="0"/>
              <w:spacing w:before="0" w:after="283"/>
              <w:jc w:val="left"/>
              <w:rPr/>
            </w:pPr>
            <w:r>
              <w:rPr/>
              <w:t>Debits to share premium account</w:t>
            </w:r>
          </w:p>
        </w:tc>
        <w:tc>
          <w:tcPr>
            <w:tcW w:w="275" w:type="dxa"/>
            <w:tcBorders/>
            <w:shd w:fill="FFFFFF" w:val="clear"/>
            <w:vAlign w:val="center"/>
          </w:tcPr>
          <w:p>
            <w:pPr>
              <w:pStyle w:val="TableContents"/>
              <w:bidi w:val="0"/>
              <w:spacing w:before="0" w:after="283"/>
              <w:jc w:val="center"/>
              <w:rPr/>
            </w:pPr>
            <w:r>
              <w:rPr/>
              <w:t>66</w:t>
            </w:r>
          </w:p>
        </w:tc>
      </w:tr>
      <w:tr>
        <w:trPr/>
        <w:tc>
          <w:tcPr>
            <w:tcW w:w="934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8" w:type="dxa"/>
            <w:tcBorders/>
            <w:shd w:fill="FFFFFF" w:val="clear"/>
            <w:vAlign w:val="center"/>
          </w:tcPr>
          <w:p>
            <w:pPr>
              <w:pStyle w:val="TableContents"/>
              <w:bidi w:val="0"/>
              <w:spacing w:before="0" w:after="283"/>
              <w:jc w:val="left"/>
              <w:rPr>
                <w:b/>
              </w:rPr>
            </w:pPr>
            <w:r>
              <w:rPr>
                <w:b/>
              </w:rPr>
              <w:t>28</w:t>
            </w:r>
          </w:p>
        </w:tc>
        <w:tc>
          <w:tcPr>
            <w:tcW w:w="8791" w:type="dxa"/>
            <w:tcBorders/>
            <w:shd w:fill="FFFFFF" w:val="clear"/>
            <w:vAlign w:val="center"/>
          </w:tcPr>
          <w:p>
            <w:pPr>
              <w:pStyle w:val="TableContents"/>
              <w:bidi w:val="0"/>
              <w:spacing w:before="0" w:after="283"/>
              <w:jc w:val="left"/>
              <w:rPr>
                <w:b/>
              </w:rPr>
            </w:pPr>
            <w:r>
              <w:rPr>
                <w:b/>
              </w:rPr>
              <w:t>Seal</w:t>
            </w:r>
          </w:p>
        </w:tc>
        <w:tc>
          <w:tcPr>
            <w:tcW w:w="275" w:type="dxa"/>
            <w:tcBorders/>
            <w:shd w:fill="FFFFFF" w:val="clear"/>
            <w:vAlign w:val="center"/>
          </w:tcPr>
          <w:p>
            <w:pPr>
              <w:pStyle w:val="TableContents"/>
              <w:bidi w:val="0"/>
              <w:spacing w:before="0" w:after="283"/>
              <w:jc w:val="center"/>
              <w:rPr>
                <w:b/>
              </w:rPr>
            </w:pPr>
            <w:r>
              <w:rPr>
                <w:b/>
              </w:rPr>
              <w:t>67</w:t>
            </w:r>
          </w:p>
        </w:tc>
      </w:tr>
      <w:tr>
        <w:trPr/>
        <w:tc>
          <w:tcPr>
            <w:tcW w:w="9349" w:type="dxa"/>
            <w:gridSpan w:val="2"/>
            <w:tcBorders/>
            <w:shd w:fill="CCEEFF" w:val="clear"/>
            <w:vAlign w:val="center"/>
          </w:tcPr>
          <w:p>
            <w:pPr>
              <w:pStyle w:val="TableContents"/>
              <w:bidi w:val="0"/>
              <w:spacing w:before="0" w:after="283"/>
              <w:jc w:val="left"/>
              <w:rPr/>
            </w:pPr>
            <w:r>
              <w:rPr/>
              <w:t>Company seal</w:t>
            </w:r>
          </w:p>
        </w:tc>
        <w:tc>
          <w:tcPr>
            <w:tcW w:w="275" w:type="dxa"/>
            <w:tcBorders/>
            <w:shd w:fill="CCEEFF" w:val="clear"/>
            <w:vAlign w:val="center"/>
          </w:tcPr>
          <w:p>
            <w:pPr>
              <w:pStyle w:val="TableContents"/>
              <w:bidi w:val="0"/>
              <w:spacing w:before="0" w:after="283"/>
              <w:jc w:val="center"/>
              <w:rPr/>
            </w:pPr>
            <w:r>
              <w:rPr/>
              <w:t>67</w:t>
            </w:r>
          </w:p>
        </w:tc>
      </w:tr>
      <w:tr>
        <w:trPr/>
        <w:tc>
          <w:tcPr>
            <w:tcW w:w="9349" w:type="dxa"/>
            <w:gridSpan w:val="2"/>
            <w:tcBorders/>
            <w:shd w:fill="FFFFFF" w:val="clear"/>
            <w:vAlign w:val="center"/>
          </w:tcPr>
          <w:p>
            <w:pPr>
              <w:pStyle w:val="TableContents"/>
              <w:bidi w:val="0"/>
              <w:spacing w:before="0" w:after="283"/>
              <w:jc w:val="left"/>
              <w:rPr/>
            </w:pPr>
            <w:r>
              <w:rPr/>
              <w:t>Duplicate seal</w:t>
            </w:r>
          </w:p>
        </w:tc>
        <w:tc>
          <w:tcPr>
            <w:tcW w:w="275" w:type="dxa"/>
            <w:tcBorders/>
            <w:shd w:fill="FFFFFF" w:val="clear"/>
            <w:vAlign w:val="center"/>
          </w:tcPr>
          <w:p>
            <w:pPr>
              <w:pStyle w:val="TableContents"/>
              <w:bidi w:val="0"/>
              <w:spacing w:before="0" w:after="283"/>
              <w:jc w:val="center"/>
              <w:rPr/>
            </w:pPr>
            <w:r>
              <w:rPr/>
              <w:t>67</w:t>
            </w:r>
          </w:p>
        </w:tc>
      </w:tr>
      <w:tr>
        <w:trPr/>
        <w:tc>
          <w:tcPr>
            <w:tcW w:w="9349" w:type="dxa"/>
            <w:gridSpan w:val="2"/>
            <w:tcBorders/>
            <w:shd w:fill="CCEEFF" w:val="clear"/>
            <w:vAlign w:val="center"/>
          </w:tcPr>
          <w:p>
            <w:pPr>
              <w:pStyle w:val="TableContents"/>
              <w:bidi w:val="0"/>
              <w:spacing w:before="0" w:after="283"/>
              <w:jc w:val="left"/>
              <w:rPr/>
            </w:pPr>
            <w:r>
              <w:rPr/>
              <w:t>When and how seal is to be used</w:t>
            </w:r>
          </w:p>
        </w:tc>
        <w:tc>
          <w:tcPr>
            <w:tcW w:w="275" w:type="dxa"/>
            <w:tcBorders/>
            <w:shd w:fill="CCEEFF" w:val="clear"/>
            <w:vAlign w:val="center"/>
          </w:tcPr>
          <w:p>
            <w:pPr>
              <w:pStyle w:val="TableContents"/>
              <w:bidi w:val="0"/>
              <w:spacing w:before="0" w:after="283"/>
              <w:jc w:val="center"/>
              <w:rPr/>
            </w:pPr>
            <w:r>
              <w:rPr/>
              <w:t>67</w:t>
            </w:r>
          </w:p>
        </w:tc>
      </w:tr>
      <w:tr>
        <w:trPr/>
        <w:tc>
          <w:tcPr>
            <w:tcW w:w="9349" w:type="dxa"/>
            <w:gridSpan w:val="2"/>
            <w:tcBorders/>
            <w:shd w:fill="FFFFFF" w:val="clear"/>
            <w:vAlign w:val="center"/>
          </w:tcPr>
          <w:p>
            <w:pPr>
              <w:pStyle w:val="TableContents"/>
              <w:bidi w:val="0"/>
              <w:spacing w:before="0" w:after="283"/>
              <w:jc w:val="left"/>
              <w:rPr/>
            </w:pPr>
            <w:r>
              <w:rPr/>
              <w:t>If no seal is adopted or used</w:t>
            </w:r>
          </w:p>
        </w:tc>
        <w:tc>
          <w:tcPr>
            <w:tcW w:w="275" w:type="dxa"/>
            <w:tcBorders/>
            <w:shd w:fill="FFFFFF" w:val="clear"/>
            <w:vAlign w:val="center"/>
          </w:tcPr>
          <w:p>
            <w:pPr>
              <w:pStyle w:val="TableContents"/>
              <w:bidi w:val="0"/>
              <w:spacing w:before="0" w:after="283"/>
              <w:jc w:val="center"/>
              <w:rPr/>
            </w:pPr>
            <w:r>
              <w:rPr/>
              <w:t>67</w:t>
            </w:r>
          </w:p>
        </w:tc>
      </w:tr>
      <w:tr>
        <w:trPr/>
        <w:tc>
          <w:tcPr>
            <w:tcW w:w="9349" w:type="dxa"/>
            <w:gridSpan w:val="2"/>
            <w:tcBorders/>
            <w:shd w:fill="CCEEFF" w:val="clear"/>
            <w:vAlign w:val="center"/>
          </w:tcPr>
          <w:p>
            <w:pPr>
              <w:pStyle w:val="TableContents"/>
              <w:bidi w:val="0"/>
              <w:spacing w:before="0" w:after="283"/>
              <w:jc w:val="left"/>
              <w:rPr/>
            </w:pPr>
            <w:r>
              <w:rPr/>
              <w:t>Power to allow non-manual signatures and facsimile printing of seal</w:t>
            </w:r>
          </w:p>
        </w:tc>
        <w:tc>
          <w:tcPr>
            <w:tcW w:w="275" w:type="dxa"/>
            <w:tcBorders/>
            <w:shd w:fill="CCEEFF" w:val="clear"/>
            <w:vAlign w:val="center"/>
          </w:tcPr>
          <w:p>
            <w:pPr>
              <w:pStyle w:val="TableContents"/>
              <w:bidi w:val="0"/>
              <w:spacing w:before="0" w:after="283"/>
              <w:jc w:val="center"/>
              <w:rPr/>
            </w:pPr>
            <w:r>
              <w:rPr/>
              <w:t>67</w:t>
            </w:r>
          </w:p>
        </w:tc>
      </w:tr>
      <w:tr>
        <w:trPr/>
        <w:tc>
          <w:tcPr>
            <w:tcW w:w="9349" w:type="dxa"/>
            <w:gridSpan w:val="2"/>
            <w:tcBorders/>
            <w:shd w:fill="FFFFFF" w:val="clear"/>
            <w:vAlign w:val="center"/>
          </w:tcPr>
          <w:p>
            <w:pPr>
              <w:pStyle w:val="TableContents"/>
              <w:bidi w:val="0"/>
              <w:spacing w:before="0" w:after="283"/>
              <w:jc w:val="left"/>
              <w:rPr/>
            </w:pPr>
            <w:r>
              <w:rPr/>
              <w:t>Validity of execution</w:t>
            </w:r>
          </w:p>
        </w:tc>
        <w:tc>
          <w:tcPr>
            <w:tcW w:w="275" w:type="dxa"/>
            <w:tcBorders/>
            <w:shd w:fill="FFFFFF" w:val="clear"/>
            <w:vAlign w:val="center"/>
          </w:tcPr>
          <w:p>
            <w:pPr>
              <w:pStyle w:val="TableContents"/>
              <w:bidi w:val="0"/>
              <w:spacing w:before="0" w:after="283"/>
              <w:jc w:val="center"/>
              <w:rPr/>
            </w:pPr>
            <w:r>
              <w:rPr/>
              <w:t>67</w:t>
            </w:r>
          </w:p>
        </w:tc>
      </w:tr>
      <w:tr>
        <w:trPr/>
        <w:tc>
          <w:tcPr>
            <w:tcW w:w="934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8" w:type="dxa"/>
            <w:tcBorders/>
            <w:shd w:fill="FFFFFF" w:val="clear"/>
            <w:vAlign w:val="center"/>
          </w:tcPr>
          <w:p>
            <w:pPr>
              <w:pStyle w:val="TableContents"/>
              <w:bidi w:val="0"/>
              <w:spacing w:before="0" w:after="283"/>
              <w:jc w:val="left"/>
              <w:rPr>
                <w:b/>
              </w:rPr>
            </w:pPr>
            <w:r>
              <w:rPr>
                <w:b/>
              </w:rPr>
              <w:t>29</w:t>
            </w:r>
          </w:p>
        </w:tc>
        <w:tc>
          <w:tcPr>
            <w:tcW w:w="8791" w:type="dxa"/>
            <w:tcBorders/>
            <w:shd w:fill="FFFFFF" w:val="clear"/>
            <w:vAlign w:val="center"/>
          </w:tcPr>
          <w:p>
            <w:pPr>
              <w:pStyle w:val="TableContents"/>
              <w:bidi w:val="0"/>
              <w:spacing w:before="0" w:after="283"/>
              <w:jc w:val="left"/>
              <w:rPr>
                <w:b/>
              </w:rPr>
            </w:pPr>
            <w:r>
              <w:rPr>
                <w:b/>
              </w:rPr>
              <w:t>Indemnity</w:t>
            </w:r>
          </w:p>
        </w:tc>
        <w:tc>
          <w:tcPr>
            <w:tcW w:w="275" w:type="dxa"/>
            <w:tcBorders/>
            <w:shd w:fill="FFFFFF" w:val="clear"/>
            <w:vAlign w:val="center"/>
          </w:tcPr>
          <w:p>
            <w:pPr>
              <w:pStyle w:val="TableContents"/>
              <w:bidi w:val="0"/>
              <w:spacing w:before="0" w:after="283"/>
              <w:jc w:val="center"/>
              <w:rPr>
                <w:b/>
              </w:rPr>
            </w:pPr>
            <w:r>
              <w:rPr>
                <w:b/>
              </w:rPr>
              <w:t>68</w:t>
            </w:r>
          </w:p>
        </w:tc>
      </w:tr>
      <w:tr>
        <w:trPr/>
        <w:tc>
          <w:tcPr>
            <w:tcW w:w="9349" w:type="dxa"/>
            <w:gridSpan w:val="2"/>
            <w:tcBorders/>
            <w:shd w:fill="CCEEFF" w:val="clear"/>
            <w:vAlign w:val="center"/>
          </w:tcPr>
          <w:p>
            <w:pPr>
              <w:pStyle w:val="TableContents"/>
              <w:bidi w:val="0"/>
              <w:spacing w:before="0" w:after="283"/>
              <w:jc w:val="left"/>
              <w:rPr/>
            </w:pPr>
            <w:r>
              <w:rPr/>
              <w:t>Release</w:t>
            </w:r>
          </w:p>
        </w:tc>
        <w:tc>
          <w:tcPr>
            <w:tcW w:w="275" w:type="dxa"/>
            <w:tcBorders/>
            <w:shd w:fill="CCEEFF" w:val="clear"/>
            <w:vAlign w:val="center"/>
          </w:tcPr>
          <w:p>
            <w:pPr>
              <w:pStyle w:val="TableContents"/>
              <w:bidi w:val="0"/>
              <w:spacing w:before="0" w:after="283"/>
              <w:jc w:val="center"/>
              <w:rPr/>
            </w:pPr>
            <w:r>
              <w:rPr/>
              <w:t>68</w:t>
            </w:r>
          </w:p>
        </w:tc>
      </w:tr>
      <w:tr>
        <w:trPr/>
        <w:tc>
          <w:tcPr>
            <w:tcW w:w="9349" w:type="dxa"/>
            <w:gridSpan w:val="2"/>
            <w:tcBorders/>
            <w:shd w:fill="FFFFFF" w:val="clear"/>
            <w:vAlign w:val="center"/>
          </w:tcPr>
          <w:p>
            <w:pPr>
              <w:pStyle w:val="TableContents"/>
              <w:bidi w:val="0"/>
              <w:spacing w:before="0" w:after="283"/>
              <w:jc w:val="left"/>
              <w:rPr/>
            </w:pPr>
            <w:r>
              <w:rPr/>
              <w:t>Insurance</w:t>
            </w:r>
          </w:p>
        </w:tc>
        <w:tc>
          <w:tcPr>
            <w:tcW w:w="275" w:type="dxa"/>
            <w:tcBorders/>
            <w:shd w:fill="FFFFFF" w:val="clear"/>
            <w:vAlign w:val="center"/>
          </w:tcPr>
          <w:p>
            <w:pPr>
              <w:pStyle w:val="TableContents"/>
              <w:bidi w:val="0"/>
              <w:spacing w:before="0" w:after="283"/>
              <w:jc w:val="center"/>
              <w:rPr/>
            </w:pPr>
            <w:r>
              <w:rPr/>
              <w:t>69</w:t>
            </w:r>
          </w:p>
        </w:tc>
      </w:tr>
      <w:tr>
        <w:trPr/>
        <w:tc>
          <w:tcPr>
            <w:tcW w:w="934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8" w:type="dxa"/>
            <w:tcBorders/>
            <w:shd w:fill="FFFFFF" w:val="clear"/>
            <w:vAlign w:val="center"/>
          </w:tcPr>
          <w:p>
            <w:pPr>
              <w:pStyle w:val="TableContents"/>
              <w:bidi w:val="0"/>
              <w:spacing w:before="0" w:after="283"/>
              <w:jc w:val="left"/>
              <w:rPr>
                <w:b/>
              </w:rPr>
            </w:pPr>
            <w:r>
              <w:rPr>
                <w:b/>
              </w:rPr>
              <w:t>30</w:t>
            </w:r>
          </w:p>
        </w:tc>
        <w:tc>
          <w:tcPr>
            <w:tcW w:w="8791" w:type="dxa"/>
            <w:tcBorders/>
            <w:shd w:fill="FFFFFF" w:val="clear"/>
            <w:vAlign w:val="center"/>
          </w:tcPr>
          <w:p>
            <w:pPr>
              <w:pStyle w:val="TableContents"/>
              <w:bidi w:val="0"/>
              <w:spacing w:before="0" w:after="283"/>
              <w:jc w:val="left"/>
              <w:rPr>
                <w:b/>
              </w:rPr>
            </w:pPr>
            <w:r>
              <w:rPr>
                <w:b/>
              </w:rPr>
              <w:t>Notices</w:t>
            </w:r>
          </w:p>
        </w:tc>
        <w:tc>
          <w:tcPr>
            <w:tcW w:w="275" w:type="dxa"/>
            <w:tcBorders/>
            <w:shd w:fill="FFFFFF" w:val="clear"/>
            <w:vAlign w:val="center"/>
          </w:tcPr>
          <w:p>
            <w:pPr>
              <w:pStyle w:val="TableContents"/>
              <w:bidi w:val="0"/>
              <w:spacing w:before="0" w:after="283"/>
              <w:jc w:val="center"/>
              <w:rPr>
                <w:b/>
              </w:rPr>
            </w:pPr>
            <w:r>
              <w:rPr>
                <w:b/>
              </w:rPr>
              <w:t>69</w:t>
            </w:r>
          </w:p>
        </w:tc>
      </w:tr>
      <w:tr>
        <w:trPr/>
        <w:tc>
          <w:tcPr>
            <w:tcW w:w="9349" w:type="dxa"/>
            <w:gridSpan w:val="2"/>
            <w:tcBorders/>
            <w:shd w:fill="CCEEFF" w:val="clear"/>
            <w:vAlign w:val="center"/>
          </w:tcPr>
          <w:p>
            <w:pPr>
              <w:pStyle w:val="TableContents"/>
              <w:bidi w:val="0"/>
              <w:spacing w:before="0" w:after="283"/>
              <w:jc w:val="left"/>
              <w:rPr/>
            </w:pPr>
            <w:r>
              <w:rPr/>
              <w:t>Form of notices</w:t>
            </w:r>
          </w:p>
        </w:tc>
        <w:tc>
          <w:tcPr>
            <w:tcW w:w="275" w:type="dxa"/>
            <w:tcBorders/>
            <w:shd w:fill="CCEEFF" w:val="clear"/>
            <w:vAlign w:val="center"/>
          </w:tcPr>
          <w:p>
            <w:pPr>
              <w:pStyle w:val="TableContents"/>
              <w:bidi w:val="0"/>
              <w:spacing w:before="0" w:after="283"/>
              <w:jc w:val="center"/>
              <w:rPr/>
            </w:pPr>
            <w:r>
              <w:rPr/>
              <w:t>69</w:t>
            </w:r>
          </w:p>
        </w:tc>
      </w:tr>
      <w:tr>
        <w:trPr/>
        <w:tc>
          <w:tcPr>
            <w:tcW w:w="9349" w:type="dxa"/>
            <w:gridSpan w:val="2"/>
            <w:tcBorders/>
            <w:shd w:fill="FFFFFF" w:val="clear"/>
            <w:vAlign w:val="center"/>
          </w:tcPr>
          <w:p>
            <w:pPr>
              <w:pStyle w:val="TableContents"/>
              <w:bidi w:val="0"/>
              <w:spacing w:before="0" w:after="283"/>
              <w:jc w:val="left"/>
              <w:rPr/>
            </w:pPr>
            <w:r>
              <w:rPr/>
              <w:t>Electronic communications</w:t>
            </w:r>
          </w:p>
        </w:tc>
        <w:tc>
          <w:tcPr>
            <w:tcW w:w="275" w:type="dxa"/>
            <w:tcBorders/>
            <w:shd w:fill="FFFFFF" w:val="clear"/>
            <w:vAlign w:val="center"/>
          </w:tcPr>
          <w:p>
            <w:pPr>
              <w:pStyle w:val="TableContents"/>
              <w:bidi w:val="0"/>
              <w:spacing w:before="0" w:after="283"/>
              <w:jc w:val="center"/>
              <w:rPr/>
            </w:pPr>
            <w:r>
              <w:rPr/>
              <w:t>69</w:t>
            </w:r>
          </w:p>
        </w:tc>
      </w:tr>
      <w:tr>
        <w:trPr/>
        <w:tc>
          <w:tcPr>
            <w:tcW w:w="9349" w:type="dxa"/>
            <w:gridSpan w:val="2"/>
            <w:tcBorders/>
            <w:shd w:fill="CCEEFF" w:val="clear"/>
            <w:vAlign w:val="center"/>
          </w:tcPr>
          <w:p>
            <w:pPr>
              <w:pStyle w:val="TableContents"/>
              <w:bidi w:val="0"/>
              <w:spacing w:before="0" w:after="283"/>
              <w:jc w:val="left"/>
              <w:rPr/>
            </w:pPr>
            <w:r>
              <w:rPr/>
              <w:t>Persons entitled to notices</w:t>
            </w:r>
          </w:p>
        </w:tc>
        <w:tc>
          <w:tcPr>
            <w:tcW w:w="275" w:type="dxa"/>
            <w:tcBorders/>
            <w:shd w:fill="CCEEFF" w:val="clear"/>
            <w:vAlign w:val="center"/>
          </w:tcPr>
          <w:p>
            <w:pPr>
              <w:pStyle w:val="TableContents"/>
              <w:bidi w:val="0"/>
              <w:spacing w:before="0" w:after="283"/>
              <w:jc w:val="center"/>
              <w:rPr/>
            </w:pPr>
            <w:r>
              <w:rPr/>
              <w:t>70</w:t>
            </w:r>
          </w:p>
        </w:tc>
      </w:tr>
      <w:tr>
        <w:trPr/>
        <w:tc>
          <w:tcPr>
            <w:tcW w:w="9349" w:type="dxa"/>
            <w:gridSpan w:val="2"/>
            <w:tcBorders/>
            <w:shd w:fill="FFFFFF" w:val="clear"/>
            <w:vAlign w:val="center"/>
          </w:tcPr>
          <w:p>
            <w:pPr>
              <w:pStyle w:val="TableContents"/>
              <w:bidi w:val="0"/>
              <w:spacing w:before="0" w:after="283"/>
              <w:jc w:val="left"/>
              <w:rPr/>
            </w:pPr>
            <w:r>
              <w:rPr/>
              <w:t>Persons authorised to give notices</w:t>
            </w:r>
          </w:p>
        </w:tc>
        <w:tc>
          <w:tcPr>
            <w:tcW w:w="275" w:type="dxa"/>
            <w:tcBorders/>
            <w:shd w:fill="FFFFFF" w:val="clear"/>
            <w:vAlign w:val="center"/>
          </w:tcPr>
          <w:p>
            <w:pPr>
              <w:pStyle w:val="TableContents"/>
              <w:bidi w:val="0"/>
              <w:spacing w:before="0" w:after="283"/>
              <w:jc w:val="center"/>
              <w:rPr/>
            </w:pPr>
            <w:r>
              <w:rPr/>
              <w:t>71</w:t>
            </w:r>
          </w:p>
        </w:tc>
      </w:tr>
      <w:tr>
        <w:trPr/>
        <w:tc>
          <w:tcPr>
            <w:tcW w:w="9349" w:type="dxa"/>
            <w:gridSpan w:val="2"/>
            <w:tcBorders/>
            <w:shd w:fill="CCEEFF" w:val="clear"/>
            <w:vAlign w:val="center"/>
          </w:tcPr>
          <w:p>
            <w:pPr>
              <w:pStyle w:val="TableContents"/>
              <w:bidi w:val="0"/>
              <w:spacing w:before="0" w:after="283"/>
              <w:jc w:val="left"/>
              <w:rPr/>
            </w:pPr>
            <w:r>
              <w:rPr/>
              <w:t>Delivery of written notices</w:t>
            </w:r>
          </w:p>
        </w:tc>
        <w:tc>
          <w:tcPr>
            <w:tcW w:w="275" w:type="dxa"/>
            <w:tcBorders/>
            <w:shd w:fill="CCEEFF" w:val="clear"/>
            <w:vAlign w:val="center"/>
          </w:tcPr>
          <w:p>
            <w:pPr>
              <w:pStyle w:val="TableContents"/>
              <w:bidi w:val="0"/>
              <w:spacing w:before="0" w:after="283"/>
              <w:jc w:val="center"/>
              <w:rPr/>
            </w:pPr>
            <w:r>
              <w:rPr/>
              <w:t>71</w:t>
            </w:r>
          </w:p>
        </w:tc>
      </w:tr>
      <w:tr>
        <w:trPr/>
        <w:tc>
          <w:tcPr>
            <w:tcW w:w="9349" w:type="dxa"/>
            <w:gridSpan w:val="2"/>
            <w:tcBorders/>
            <w:shd w:fill="FFFFFF" w:val="clear"/>
            <w:vAlign w:val="center"/>
          </w:tcPr>
          <w:p>
            <w:pPr>
              <w:pStyle w:val="TableContents"/>
              <w:bidi w:val="0"/>
              <w:spacing w:before="0" w:after="283"/>
              <w:jc w:val="left"/>
              <w:rPr/>
            </w:pPr>
            <w:r>
              <w:rPr/>
              <w:t>Joint holders</w:t>
            </w:r>
          </w:p>
        </w:tc>
        <w:tc>
          <w:tcPr>
            <w:tcW w:w="275" w:type="dxa"/>
            <w:tcBorders/>
            <w:shd w:fill="FFFFFF" w:val="clear"/>
            <w:vAlign w:val="center"/>
          </w:tcPr>
          <w:p>
            <w:pPr>
              <w:pStyle w:val="TableContents"/>
              <w:bidi w:val="0"/>
              <w:spacing w:before="0" w:after="283"/>
              <w:jc w:val="center"/>
              <w:rPr/>
            </w:pPr>
            <w:r>
              <w:rPr/>
              <w:t>71</w:t>
            </w:r>
          </w:p>
        </w:tc>
      </w:tr>
      <w:tr>
        <w:trPr/>
        <w:tc>
          <w:tcPr>
            <w:tcW w:w="9349" w:type="dxa"/>
            <w:gridSpan w:val="2"/>
            <w:tcBorders/>
            <w:shd w:fill="CCEEFF" w:val="clear"/>
            <w:vAlign w:val="center"/>
          </w:tcPr>
          <w:p>
            <w:pPr>
              <w:pStyle w:val="TableContents"/>
              <w:bidi w:val="0"/>
              <w:spacing w:before="0" w:after="283"/>
              <w:jc w:val="left"/>
              <w:rPr/>
            </w:pPr>
            <w:r>
              <w:rPr/>
              <w:t>Signatures</w:t>
            </w:r>
          </w:p>
        </w:tc>
        <w:tc>
          <w:tcPr>
            <w:tcW w:w="275" w:type="dxa"/>
            <w:tcBorders/>
            <w:shd w:fill="CCEEFF" w:val="clear"/>
            <w:vAlign w:val="center"/>
          </w:tcPr>
          <w:p>
            <w:pPr>
              <w:pStyle w:val="TableContents"/>
              <w:bidi w:val="0"/>
              <w:spacing w:before="0" w:after="283"/>
              <w:jc w:val="center"/>
              <w:rPr/>
            </w:pPr>
            <w:r>
              <w:rPr/>
              <w:t>71</w:t>
            </w:r>
          </w:p>
        </w:tc>
      </w:tr>
      <w:tr>
        <w:trPr/>
        <w:tc>
          <w:tcPr>
            <w:tcW w:w="9349" w:type="dxa"/>
            <w:gridSpan w:val="2"/>
            <w:tcBorders/>
            <w:shd w:fill="FFFFFF" w:val="clear"/>
            <w:vAlign w:val="center"/>
          </w:tcPr>
          <w:p>
            <w:pPr>
              <w:pStyle w:val="TableContents"/>
              <w:bidi w:val="0"/>
              <w:spacing w:before="0" w:after="283"/>
              <w:jc w:val="left"/>
              <w:rPr/>
            </w:pPr>
            <w:r>
              <w:rPr/>
              <w:t>Giving notice to a deceased or bankrupt Member</w:t>
            </w:r>
          </w:p>
        </w:tc>
        <w:tc>
          <w:tcPr>
            <w:tcW w:w="275" w:type="dxa"/>
            <w:tcBorders/>
            <w:shd w:fill="FFFFFF" w:val="clear"/>
            <w:vAlign w:val="center"/>
          </w:tcPr>
          <w:p>
            <w:pPr>
              <w:pStyle w:val="TableContents"/>
              <w:bidi w:val="0"/>
              <w:spacing w:before="0" w:after="283"/>
              <w:jc w:val="center"/>
              <w:rPr/>
            </w:pPr>
            <w:r>
              <w:rPr/>
              <w:t>71</w:t>
            </w:r>
          </w:p>
        </w:tc>
      </w:tr>
      <w:tr>
        <w:trPr/>
        <w:tc>
          <w:tcPr>
            <w:tcW w:w="9349" w:type="dxa"/>
            <w:gridSpan w:val="2"/>
            <w:tcBorders/>
            <w:shd w:fill="CCEEFF" w:val="clear"/>
            <w:vAlign w:val="center"/>
          </w:tcPr>
          <w:p>
            <w:pPr>
              <w:pStyle w:val="TableContents"/>
              <w:bidi w:val="0"/>
              <w:spacing w:before="0" w:after="283"/>
              <w:jc w:val="left"/>
              <w:rPr/>
            </w:pPr>
            <w:r>
              <w:rPr/>
              <w:t>Date of giving notices</w:t>
            </w:r>
          </w:p>
        </w:tc>
        <w:tc>
          <w:tcPr>
            <w:tcW w:w="275" w:type="dxa"/>
            <w:tcBorders/>
            <w:shd w:fill="CCEEFF" w:val="clear"/>
            <w:vAlign w:val="center"/>
          </w:tcPr>
          <w:p>
            <w:pPr>
              <w:pStyle w:val="TableContents"/>
              <w:bidi w:val="0"/>
              <w:spacing w:before="0" w:after="283"/>
              <w:jc w:val="center"/>
              <w:rPr/>
            </w:pPr>
            <w:r>
              <w:rPr/>
              <w:t>72</w:t>
            </w:r>
          </w:p>
        </w:tc>
      </w:tr>
      <w:tr>
        <w:trPr/>
        <w:tc>
          <w:tcPr>
            <w:tcW w:w="9349" w:type="dxa"/>
            <w:gridSpan w:val="2"/>
            <w:tcBorders/>
            <w:shd w:fill="FFFFFF" w:val="clear"/>
            <w:vAlign w:val="center"/>
          </w:tcPr>
          <w:p>
            <w:pPr>
              <w:pStyle w:val="TableContents"/>
              <w:bidi w:val="0"/>
              <w:spacing w:before="0" w:after="283"/>
              <w:jc w:val="left"/>
              <w:rPr/>
            </w:pPr>
            <w:r>
              <w:rPr/>
              <w:t>Saving provision</w:t>
            </w:r>
          </w:p>
        </w:tc>
        <w:tc>
          <w:tcPr>
            <w:tcW w:w="275" w:type="dxa"/>
            <w:tcBorders/>
            <w:shd w:fill="FFFFFF" w:val="clear"/>
            <w:vAlign w:val="center"/>
          </w:tcPr>
          <w:p>
            <w:pPr>
              <w:pStyle w:val="TableContents"/>
              <w:bidi w:val="0"/>
              <w:spacing w:before="0" w:after="283"/>
              <w:jc w:val="center"/>
              <w:rPr/>
            </w:pPr>
            <w:r>
              <w:rPr/>
              <w:t>72</w:t>
            </w:r>
          </w:p>
        </w:tc>
      </w:tr>
      <w:tr>
        <w:trPr/>
        <w:tc>
          <w:tcPr>
            <w:tcW w:w="9349"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8" w:type="dxa"/>
            <w:tcBorders/>
            <w:shd w:fill="FFFFFF" w:val="clear"/>
            <w:vAlign w:val="center"/>
          </w:tcPr>
          <w:p>
            <w:pPr>
              <w:pStyle w:val="TableContents"/>
              <w:bidi w:val="0"/>
              <w:spacing w:before="0" w:after="283"/>
              <w:jc w:val="left"/>
              <w:rPr>
                <w:b/>
              </w:rPr>
            </w:pPr>
            <w:r>
              <w:rPr>
                <w:b/>
              </w:rPr>
              <w:t>31</w:t>
            </w:r>
          </w:p>
        </w:tc>
        <w:tc>
          <w:tcPr>
            <w:tcW w:w="8791" w:type="dxa"/>
            <w:tcBorders/>
            <w:shd w:fill="FFFFFF" w:val="clear"/>
            <w:vAlign w:val="center"/>
          </w:tcPr>
          <w:p>
            <w:pPr>
              <w:pStyle w:val="TableContents"/>
              <w:bidi w:val="0"/>
              <w:spacing w:before="0" w:after="283"/>
              <w:jc w:val="left"/>
              <w:rPr>
                <w:b/>
              </w:rPr>
            </w:pPr>
            <w:r>
              <w:rPr>
                <w:b/>
              </w:rPr>
              <w:t>Authentication of Electronic Records</w:t>
            </w:r>
          </w:p>
        </w:tc>
        <w:tc>
          <w:tcPr>
            <w:tcW w:w="275" w:type="dxa"/>
            <w:tcBorders/>
            <w:shd w:fill="FFFFFF" w:val="clear"/>
            <w:vAlign w:val="center"/>
          </w:tcPr>
          <w:p>
            <w:pPr>
              <w:pStyle w:val="TableContents"/>
              <w:bidi w:val="0"/>
              <w:spacing w:before="0" w:after="283"/>
              <w:jc w:val="center"/>
              <w:rPr>
                <w:b/>
              </w:rPr>
            </w:pPr>
            <w:r>
              <w:rPr>
                <w:b/>
              </w:rPr>
              <w:t>72</w:t>
            </w:r>
          </w:p>
        </w:tc>
      </w:tr>
      <w:tr>
        <w:trPr/>
        <w:tc>
          <w:tcPr>
            <w:tcW w:w="9349" w:type="dxa"/>
            <w:gridSpan w:val="2"/>
            <w:tcBorders/>
            <w:shd w:fill="CCEEFF" w:val="clear"/>
            <w:vAlign w:val="center"/>
          </w:tcPr>
          <w:p>
            <w:pPr>
              <w:pStyle w:val="TableContents"/>
              <w:bidi w:val="0"/>
              <w:spacing w:before="0" w:after="283"/>
              <w:jc w:val="left"/>
              <w:rPr/>
            </w:pPr>
            <w:r>
              <w:rPr/>
              <w:t>Application of Articles</w:t>
            </w:r>
          </w:p>
        </w:tc>
        <w:tc>
          <w:tcPr>
            <w:tcW w:w="275" w:type="dxa"/>
            <w:tcBorders/>
            <w:shd w:fill="CCEEFF" w:val="clear"/>
            <w:vAlign w:val="center"/>
          </w:tcPr>
          <w:p>
            <w:pPr>
              <w:pStyle w:val="TableContents"/>
              <w:bidi w:val="0"/>
              <w:spacing w:before="0" w:after="283"/>
              <w:jc w:val="center"/>
              <w:rPr/>
            </w:pPr>
            <w:r>
              <w:rPr/>
              <w:t>72</w:t>
            </w:r>
          </w:p>
        </w:tc>
      </w:tr>
      <w:tr>
        <w:trPr/>
        <w:tc>
          <w:tcPr>
            <w:tcW w:w="9349" w:type="dxa"/>
            <w:gridSpan w:val="2"/>
            <w:tcBorders/>
            <w:shd w:fill="FFFFFF" w:val="clear"/>
            <w:vAlign w:val="center"/>
          </w:tcPr>
          <w:p>
            <w:pPr>
              <w:pStyle w:val="TableContents"/>
              <w:bidi w:val="0"/>
              <w:spacing w:before="0" w:after="283"/>
              <w:jc w:val="left"/>
              <w:rPr/>
            </w:pPr>
            <w:r>
              <w:rPr/>
              <w:t>Authentication of documents sent by Members by Electronic means</w:t>
            </w:r>
          </w:p>
        </w:tc>
        <w:tc>
          <w:tcPr>
            <w:tcW w:w="275" w:type="dxa"/>
            <w:tcBorders/>
            <w:shd w:fill="FFFFFF" w:val="clear"/>
            <w:vAlign w:val="center"/>
          </w:tcPr>
          <w:p>
            <w:pPr>
              <w:pStyle w:val="TableContents"/>
              <w:bidi w:val="0"/>
              <w:spacing w:before="0" w:after="283"/>
              <w:jc w:val="center"/>
              <w:rPr/>
            </w:pPr>
            <w:r>
              <w:rPr/>
              <w:t>72</w:t>
            </w:r>
          </w:p>
        </w:tc>
      </w:tr>
      <w:tr>
        <w:trPr/>
        <w:tc>
          <w:tcPr>
            <w:tcW w:w="9349" w:type="dxa"/>
            <w:gridSpan w:val="2"/>
            <w:tcBorders/>
            <w:shd w:fill="CCEEFF" w:val="clear"/>
            <w:vAlign w:val="center"/>
          </w:tcPr>
          <w:p>
            <w:pPr>
              <w:pStyle w:val="TableContents"/>
              <w:bidi w:val="0"/>
              <w:spacing w:before="0" w:after="283"/>
              <w:jc w:val="left"/>
              <w:rPr/>
            </w:pPr>
            <w:r>
              <w:rPr/>
              <w:t>Authentication of document sent by the Secretary or Officers of the Company by Electronic means</w:t>
            </w:r>
          </w:p>
        </w:tc>
        <w:tc>
          <w:tcPr>
            <w:tcW w:w="275" w:type="dxa"/>
            <w:tcBorders/>
            <w:shd w:fill="CCEEFF" w:val="clear"/>
            <w:vAlign w:val="center"/>
          </w:tcPr>
          <w:p>
            <w:pPr>
              <w:pStyle w:val="TableContents"/>
              <w:bidi w:val="0"/>
              <w:spacing w:before="0" w:after="283"/>
              <w:jc w:val="center"/>
              <w:rPr/>
            </w:pPr>
            <w:r>
              <w:rPr/>
              <w:t>73</w:t>
            </w:r>
          </w:p>
        </w:tc>
      </w:tr>
      <w:tr>
        <w:trPr/>
        <w:tc>
          <w:tcPr>
            <w:tcW w:w="9349" w:type="dxa"/>
            <w:gridSpan w:val="2"/>
            <w:tcBorders/>
            <w:shd w:fill="FFFFFF" w:val="clear"/>
            <w:vAlign w:val="center"/>
          </w:tcPr>
          <w:p>
            <w:pPr>
              <w:pStyle w:val="TableContents"/>
              <w:bidi w:val="0"/>
              <w:spacing w:before="0" w:after="283"/>
              <w:jc w:val="left"/>
              <w:rPr/>
            </w:pPr>
            <w:r>
              <w:rPr/>
              <w:t>Manner of signing</w:t>
            </w:r>
          </w:p>
        </w:tc>
        <w:tc>
          <w:tcPr>
            <w:tcW w:w="275" w:type="dxa"/>
            <w:tcBorders/>
            <w:shd w:fill="FFFFFF" w:val="clear"/>
            <w:vAlign w:val="center"/>
          </w:tcPr>
          <w:p>
            <w:pPr>
              <w:pStyle w:val="TableContents"/>
              <w:bidi w:val="0"/>
              <w:spacing w:before="0" w:after="283"/>
              <w:jc w:val="center"/>
              <w:rPr/>
            </w:pPr>
            <w:r>
              <w:rPr/>
              <w:t>73</w:t>
            </w:r>
          </w:p>
        </w:tc>
      </w:tr>
      <w:tr>
        <w:trPr/>
        <w:tc>
          <w:tcPr>
            <w:tcW w:w="9349" w:type="dxa"/>
            <w:gridSpan w:val="2"/>
            <w:tcBorders/>
            <w:shd w:fill="CCEEFF" w:val="clear"/>
            <w:vAlign w:val="center"/>
          </w:tcPr>
          <w:p>
            <w:pPr>
              <w:pStyle w:val="TableContents"/>
              <w:bidi w:val="0"/>
              <w:spacing w:before="0" w:after="283"/>
              <w:jc w:val="left"/>
              <w:rPr/>
            </w:pPr>
            <w:r>
              <w:rPr/>
              <w:t>Saving provision</w:t>
            </w:r>
          </w:p>
        </w:tc>
        <w:tc>
          <w:tcPr>
            <w:tcW w:w="275" w:type="dxa"/>
            <w:tcBorders/>
            <w:shd w:fill="CCEEFF" w:val="clear"/>
            <w:vAlign w:val="center"/>
          </w:tcPr>
          <w:p>
            <w:pPr>
              <w:pStyle w:val="TableContents"/>
              <w:bidi w:val="0"/>
              <w:spacing w:before="0" w:after="283"/>
              <w:jc w:val="center"/>
              <w:rPr/>
            </w:pPr>
            <w:r>
              <w:rPr/>
              <w:t>74</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8" w:type="dxa"/>
            <w:tcBorders/>
            <w:shd w:fill="CCEEFF" w:val="clear"/>
            <w:vAlign w:val="center"/>
          </w:tcPr>
          <w:p>
            <w:pPr>
              <w:pStyle w:val="TableContents"/>
              <w:bidi w:val="0"/>
              <w:spacing w:before="0" w:after="283"/>
              <w:jc w:val="left"/>
              <w:rPr>
                <w:b/>
              </w:rPr>
            </w:pPr>
            <w:r>
              <w:rPr>
                <w:b/>
              </w:rPr>
              <w:t>32</w:t>
            </w:r>
          </w:p>
        </w:tc>
        <w:tc>
          <w:tcPr>
            <w:tcW w:w="8791" w:type="dxa"/>
            <w:tcBorders/>
            <w:shd w:fill="CCEEFF" w:val="clear"/>
            <w:vAlign w:val="center"/>
          </w:tcPr>
          <w:p>
            <w:pPr>
              <w:pStyle w:val="TableContents"/>
              <w:bidi w:val="0"/>
              <w:spacing w:before="0" w:after="283"/>
              <w:jc w:val="left"/>
              <w:rPr>
                <w:b/>
              </w:rPr>
            </w:pPr>
            <w:r>
              <w:rPr>
                <w:b/>
              </w:rPr>
              <w:t>Transfer by way of continuation</w:t>
            </w:r>
          </w:p>
        </w:tc>
        <w:tc>
          <w:tcPr>
            <w:tcW w:w="275" w:type="dxa"/>
            <w:tcBorders/>
            <w:shd w:fill="CCEEFF" w:val="clear"/>
            <w:vAlign w:val="center"/>
          </w:tcPr>
          <w:p>
            <w:pPr>
              <w:pStyle w:val="TableContents"/>
              <w:bidi w:val="0"/>
              <w:spacing w:before="0" w:after="283"/>
              <w:jc w:val="center"/>
              <w:rPr>
                <w:b/>
              </w:rPr>
            </w:pPr>
            <w:r>
              <w:rPr>
                <w:b/>
              </w:rPr>
              <w:t>74</w:t>
            </w:r>
          </w:p>
        </w:tc>
      </w:tr>
      <w:tr>
        <w:trPr/>
        <w:tc>
          <w:tcPr>
            <w:tcW w:w="558" w:type="dxa"/>
            <w:tcBorders/>
            <w:shd w:fill="FFFFFF" w:val="clear"/>
            <w:vAlign w:val="center"/>
          </w:tcPr>
          <w:p>
            <w:pPr>
              <w:pStyle w:val="TableContents"/>
              <w:bidi w:val="0"/>
              <w:spacing w:before="0" w:after="283"/>
              <w:jc w:val="left"/>
              <w:rPr/>
            </w:pPr>
            <w:r>
              <w:rPr/>
              <w:t> </w:t>
            </w:r>
          </w:p>
        </w:tc>
        <w:tc>
          <w:tcPr>
            <w:tcW w:w="8791"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8" w:type="dxa"/>
            <w:tcBorders/>
            <w:shd w:fill="CCEEFF" w:val="clear"/>
            <w:vAlign w:val="center"/>
          </w:tcPr>
          <w:p>
            <w:pPr>
              <w:pStyle w:val="TableContents"/>
              <w:bidi w:val="0"/>
              <w:spacing w:before="0" w:after="283"/>
              <w:jc w:val="left"/>
              <w:rPr>
                <w:b/>
              </w:rPr>
            </w:pPr>
            <w:r>
              <w:rPr>
                <w:b/>
              </w:rPr>
              <w:t>33</w:t>
            </w:r>
          </w:p>
        </w:tc>
        <w:tc>
          <w:tcPr>
            <w:tcW w:w="8791" w:type="dxa"/>
            <w:tcBorders/>
            <w:shd w:fill="CCEEFF" w:val="clear"/>
            <w:vAlign w:val="center"/>
          </w:tcPr>
          <w:p>
            <w:pPr>
              <w:pStyle w:val="TableContents"/>
              <w:bidi w:val="0"/>
              <w:spacing w:before="0" w:after="283"/>
              <w:jc w:val="left"/>
              <w:rPr>
                <w:b/>
              </w:rPr>
            </w:pPr>
            <w:r>
              <w:rPr>
                <w:b/>
              </w:rPr>
              <w:t>Winding up</w:t>
            </w:r>
          </w:p>
        </w:tc>
        <w:tc>
          <w:tcPr>
            <w:tcW w:w="275" w:type="dxa"/>
            <w:tcBorders/>
            <w:shd w:fill="CCEEFF" w:val="clear"/>
            <w:vAlign w:val="center"/>
          </w:tcPr>
          <w:p>
            <w:pPr>
              <w:pStyle w:val="TableContents"/>
              <w:bidi w:val="0"/>
              <w:spacing w:before="0" w:after="283"/>
              <w:jc w:val="center"/>
              <w:rPr>
                <w:b/>
              </w:rPr>
            </w:pPr>
            <w:r>
              <w:rPr>
                <w:b/>
              </w:rPr>
              <w:t>74</w:t>
            </w:r>
          </w:p>
        </w:tc>
      </w:tr>
      <w:tr>
        <w:trPr/>
        <w:tc>
          <w:tcPr>
            <w:tcW w:w="9349" w:type="dxa"/>
            <w:gridSpan w:val="2"/>
            <w:tcBorders/>
            <w:shd w:fill="FFFFFF" w:val="clear"/>
            <w:vAlign w:val="center"/>
          </w:tcPr>
          <w:p>
            <w:pPr>
              <w:pStyle w:val="TableContents"/>
              <w:bidi w:val="0"/>
              <w:spacing w:before="0" w:after="283"/>
              <w:jc w:val="left"/>
              <w:rPr/>
            </w:pPr>
            <w:r>
              <w:rPr/>
              <w:t>Distribution of assets in specie</w:t>
            </w:r>
          </w:p>
        </w:tc>
        <w:tc>
          <w:tcPr>
            <w:tcW w:w="275" w:type="dxa"/>
            <w:tcBorders/>
            <w:shd w:fill="FFFFFF" w:val="clear"/>
            <w:vAlign w:val="center"/>
          </w:tcPr>
          <w:p>
            <w:pPr>
              <w:pStyle w:val="TableContents"/>
              <w:bidi w:val="0"/>
              <w:spacing w:before="0" w:after="283"/>
              <w:jc w:val="center"/>
              <w:rPr/>
            </w:pPr>
            <w:r>
              <w:rPr/>
              <w:t>74</w:t>
            </w:r>
          </w:p>
        </w:tc>
      </w:tr>
      <w:tr>
        <w:trPr/>
        <w:tc>
          <w:tcPr>
            <w:tcW w:w="9349" w:type="dxa"/>
            <w:gridSpan w:val="2"/>
            <w:tcBorders/>
            <w:shd w:fill="CCEEFF" w:val="clear"/>
            <w:vAlign w:val="center"/>
          </w:tcPr>
          <w:p>
            <w:pPr>
              <w:pStyle w:val="TableContents"/>
              <w:bidi w:val="0"/>
              <w:spacing w:before="0" w:after="283"/>
              <w:jc w:val="left"/>
              <w:rPr/>
            </w:pPr>
            <w:r>
              <w:rPr/>
              <w:t>No obligation to accept liability</w:t>
            </w:r>
          </w:p>
        </w:tc>
        <w:tc>
          <w:tcPr>
            <w:tcW w:w="275" w:type="dxa"/>
            <w:tcBorders/>
            <w:shd w:fill="CCEEFF" w:val="clear"/>
            <w:vAlign w:val="center"/>
          </w:tcPr>
          <w:p>
            <w:pPr>
              <w:pStyle w:val="TableContents"/>
              <w:bidi w:val="0"/>
              <w:spacing w:before="0" w:after="283"/>
              <w:jc w:val="center"/>
              <w:rPr/>
            </w:pPr>
            <w:r>
              <w:rPr/>
              <w:t>75</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8" w:type="dxa"/>
            <w:tcBorders/>
            <w:shd w:fill="CCEEFF" w:val="clear"/>
            <w:vAlign w:val="center"/>
          </w:tcPr>
          <w:p>
            <w:pPr>
              <w:pStyle w:val="TableContents"/>
              <w:bidi w:val="0"/>
              <w:spacing w:before="0" w:after="283"/>
              <w:jc w:val="left"/>
              <w:rPr>
                <w:b/>
              </w:rPr>
            </w:pPr>
            <w:r>
              <w:rPr>
                <w:b/>
              </w:rPr>
              <w:t>34</w:t>
            </w:r>
          </w:p>
        </w:tc>
        <w:tc>
          <w:tcPr>
            <w:tcW w:w="8791" w:type="dxa"/>
            <w:tcBorders/>
            <w:shd w:fill="CCEEFF" w:val="clear"/>
            <w:vAlign w:val="center"/>
          </w:tcPr>
          <w:p>
            <w:pPr>
              <w:pStyle w:val="TableContents"/>
              <w:bidi w:val="0"/>
              <w:spacing w:before="0" w:after="283"/>
              <w:jc w:val="left"/>
              <w:rPr>
                <w:b/>
              </w:rPr>
            </w:pPr>
            <w:r>
              <w:rPr>
                <w:b/>
              </w:rPr>
              <w:t>Liquidation preference and exit provisions</w:t>
            </w:r>
          </w:p>
        </w:tc>
        <w:tc>
          <w:tcPr>
            <w:tcW w:w="275" w:type="dxa"/>
            <w:tcBorders/>
            <w:shd w:fill="CCEEFF" w:val="clear"/>
            <w:vAlign w:val="center"/>
          </w:tcPr>
          <w:p>
            <w:pPr>
              <w:pStyle w:val="TableContents"/>
              <w:bidi w:val="0"/>
              <w:spacing w:before="0" w:after="283"/>
              <w:jc w:val="center"/>
              <w:rPr>
                <w:b/>
              </w:rPr>
            </w:pPr>
            <w:r>
              <w:rPr>
                <w:b/>
              </w:rPr>
              <w:t>75</w:t>
            </w:r>
          </w:p>
        </w:tc>
      </w:tr>
      <w:tr>
        <w:trPr/>
        <w:tc>
          <w:tcPr>
            <w:tcW w:w="9349" w:type="dxa"/>
            <w:gridSpan w:val="2"/>
            <w:tcBorders/>
            <w:shd w:fill="FFFFFF" w:val="clear"/>
            <w:vAlign w:val="center"/>
          </w:tcPr>
          <w:p>
            <w:pPr>
              <w:pStyle w:val="TableContents"/>
              <w:bidi w:val="0"/>
              <w:spacing w:before="0" w:after="283"/>
              <w:jc w:val="left"/>
              <w:rPr/>
            </w:pPr>
            <w:r>
              <w:rPr/>
              <w:t>Liquidation preference</w:t>
            </w:r>
          </w:p>
        </w:tc>
        <w:tc>
          <w:tcPr>
            <w:tcW w:w="275" w:type="dxa"/>
            <w:tcBorders/>
            <w:shd w:fill="FFFFFF" w:val="clear"/>
            <w:vAlign w:val="center"/>
          </w:tcPr>
          <w:p>
            <w:pPr>
              <w:pStyle w:val="TableContents"/>
              <w:bidi w:val="0"/>
              <w:spacing w:before="0" w:after="283"/>
              <w:jc w:val="center"/>
              <w:rPr/>
            </w:pPr>
            <w:r>
              <w:rPr/>
              <w:t>75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283"/>
        <w:jc w:val="left"/>
        <w:rPr/>
      </w:pPr>
      <w:r>
        <w:rPr/>
        <w:t> </w:t>
      </w:r>
    </w:p>
    <w:tbl>
      <w:tblPr>
        <w:tblW w:w="4905" w:type="dxa"/>
        <w:jc w:val="left"/>
        <w:tblInd w:w="0" w:type="dxa"/>
        <w:tblLayout w:type="fixed"/>
        <w:tblCellMar>
          <w:top w:w="0" w:type="dxa"/>
          <w:left w:w="0" w:type="dxa"/>
          <w:bottom w:w="0" w:type="dxa"/>
          <w:right w:w="0" w:type="dxa"/>
        </w:tblCellMar>
      </w:tblPr>
      <w:tblGrid>
        <w:gridCol w:w="275"/>
        <w:gridCol w:w="4355"/>
        <w:gridCol w:w="275"/>
      </w:tblGrid>
      <w:tr>
        <w:trPr/>
        <w:tc>
          <w:tcPr>
            <w:tcW w:w="275" w:type="dxa"/>
            <w:tcBorders/>
            <w:shd w:fill="CCEEFF" w:val="clear"/>
            <w:vAlign w:val="center"/>
          </w:tcPr>
          <w:p>
            <w:pPr>
              <w:pStyle w:val="TableContents"/>
              <w:bidi w:val="0"/>
              <w:spacing w:before="0" w:after="283"/>
              <w:jc w:val="left"/>
              <w:rPr>
                <w:b/>
              </w:rPr>
            </w:pPr>
            <w:r>
              <w:rPr>
                <w:b/>
              </w:rPr>
              <w:t>35</w:t>
            </w:r>
          </w:p>
        </w:tc>
        <w:tc>
          <w:tcPr>
            <w:tcW w:w="4355" w:type="dxa"/>
            <w:tcBorders/>
            <w:shd w:fill="CCEEFF" w:val="clear"/>
            <w:vAlign w:val="center"/>
          </w:tcPr>
          <w:p>
            <w:pPr>
              <w:pStyle w:val="TableContents"/>
              <w:bidi w:val="0"/>
              <w:spacing w:before="0" w:after="283"/>
              <w:jc w:val="left"/>
              <w:rPr>
                <w:b/>
              </w:rPr>
            </w:pPr>
            <w:r>
              <w:rPr>
                <w:b/>
              </w:rPr>
              <w:t>Amendment of Memorandum and Articles</w:t>
            </w:r>
          </w:p>
        </w:tc>
        <w:tc>
          <w:tcPr>
            <w:tcW w:w="275" w:type="dxa"/>
            <w:tcBorders/>
            <w:shd w:fill="CCEEFF" w:val="clear"/>
            <w:vAlign w:val="center"/>
          </w:tcPr>
          <w:p>
            <w:pPr>
              <w:pStyle w:val="TableContents"/>
              <w:bidi w:val="0"/>
              <w:spacing w:before="0" w:after="283"/>
              <w:jc w:val="center"/>
              <w:rPr>
                <w:b/>
              </w:rPr>
            </w:pPr>
            <w:r>
              <w:rPr>
                <w:b/>
              </w:rPr>
              <w:t>76</w:t>
            </w:r>
          </w:p>
        </w:tc>
      </w:tr>
      <w:tr>
        <w:trPr/>
        <w:tc>
          <w:tcPr>
            <w:tcW w:w="4630" w:type="dxa"/>
            <w:gridSpan w:val="2"/>
            <w:tcBorders/>
            <w:shd w:fill="FFFFFF" w:val="clear"/>
            <w:vAlign w:val="center"/>
          </w:tcPr>
          <w:p>
            <w:pPr>
              <w:pStyle w:val="TableContents"/>
              <w:bidi w:val="0"/>
              <w:spacing w:before="0" w:after="283"/>
              <w:jc w:val="left"/>
              <w:rPr/>
            </w:pPr>
            <w:r>
              <w:rPr/>
              <w:t>Power to change name or amend Memorandum</w:t>
            </w:r>
          </w:p>
        </w:tc>
        <w:tc>
          <w:tcPr>
            <w:tcW w:w="275" w:type="dxa"/>
            <w:tcBorders/>
            <w:shd w:fill="FFFFFF" w:val="clear"/>
            <w:vAlign w:val="center"/>
          </w:tcPr>
          <w:p>
            <w:pPr>
              <w:pStyle w:val="TableContents"/>
              <w:bidi w:val="0"/>
              <w:spacing w:before="0" w:after="283"/>
              <w:jc w:val="center"/>
              <w:rPr/>
            </w:pPr>
            <w:r>
              <w:rPr/>
              <w:t>76</w:t>
            </w:r>
          </w:p>
        </w:tc>
      </w:tr>
      <w:tr>
        <w:trPr/>
        <w:tc>
          <w:tcPr>
            <w:tcW w:w="4630" w:type="dxa"/>
            <w:gridSpan w:val="2"/>
            <w:tcBorders/>
            <w:shd w:fill="CCEEFF" w:val="clear"/>
            <w:vAlign w:val="center"/>
          </w:tcPr>
          <w:p>
            <w:pPr>
              <w:pStyle w:val="TableContents"/>
              <w:bidi w:val="0"/>
              <w:spacing w:before="0" w:after="283"/>
              <w:jc w:val="left"/>
              <w:rPr/>
            </w:pPr>
            <w:r>
              <w:rPr/>
              <w:t>Power to amend these Articles</w:t>
            </w:r>
          </w:p>
        </w:tc>
        <w:tc>
          <w:tcPr>
            <w:tcW w:w="275" w:type="dxa"/>
            <w:tcBorders/>
            <w:shd w:fill="CCEEFF" w:val="clear"/>
            <w:vAlign w:val="center"/>
          </w:tcPr>
          <w:p>
            <w:pPr>
              <w:pStyle w:val="TableContents"/>
              <w:bidi w:val="0"/>
              <w:spacing w:before="0" w:after="283"/>
              <w:jc w:val="center"/>
              <w:rPr/>
            </w:pPr>
            <w:r>
              <w:rPr/>
              <w:t>76</w:t>
            </w:r>
          </w:p>
        </w:tc>
      </w:tr>
      <w:tr>
        <w:trPr/>
        <w:tc>
          <w:tcPr>
            <w:tcW w:w="4630"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b/>
              </w:rPr>
            </w:pPr>
            <w:r>
              <w:rPr>
                <w:b/>
              </w:rPr>
              <w:t>36</w:t>
            </w:r>
          </w:p>
        </w:tc>
        <w:tc>
          <w:tcPr>
            <w:tcW w:w="4355" w:type="dxa"/>
            <w:tcBorders/>
            <w:shd w:fill="CCEEFF" w:val="clear"/>
            <w:vAlign w:val="center"/>
          </w:tcPr>
          <w:p>
            <w:pPr>
              <w:pStyle w:val="TableContents"/>
              <w:bidi w:val="0"/>
              <w:spacing w:before="0" w:after="283"/>
              <w:jc w:val="left"/>
              <w:rPr>
                <w:b/>
              </w:rPr>
            </w:pPr>
            <w:r>
              <w:rPr>
                <w:b/>
              </w:rPr>
              <w:t>Mergers and Consolidations</w:t>
            </w:r>
          </w:p>
        </w:tc>
        <w:tc>
          <w:tcPr>
            <w:tcW w:w="275" w:type="dxa"/>
            <w:tcBorders/>
            <w:shd w:fill="CCEEFF" w:val="clear"/>
            <w:vAlign w:val="center"/>
          </w:tcPr>
          <w:p>
            <w:pPr>
              <w:pStyle w:val="TableContents"/>
              <w:bidi w:val="0"/>
              <w:spacing w:before="0" w:after="283"/>
              <w:jc w:val="center"/>
              <w:rPr>
                <w:b/>
              </w:rPr>
            </w:pPr>
            <w:r>
              <w:rPr>
                <w:b/>
              </w:rPr>
              <w:t>76</w:t>
            </w:r>
          </w:p>
        </w:tc>
      </w:tr>
      <w:tr>
        <w:trPr/>
        <w:tc>
          <w:tcPr>
            <w:tcW w:w="275"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b/>
              </w:rPr>
            </w:pPr>
            <w:r>
              <w:rPr>
                <w:b/>
              </w:rPr>
              <w:t>37</w:t>
            </w:r>
          </w:p>
        </w:tc>
        <w:tc>
          <w:tcPr>
            <w:tcW w:w="4355" w:type="dxa"/>
            <w:tcBorders/>
            <w:shd w:fill="CCEEFF" w:val="clear"/>
            <w:vAlign w:val="center"/>
          </w:tcPr>
          <w:p>
            <w:pPr>
              <w:pStyle w:val="TableContents"/>
              <w:bidi w:val="0"/>
              <w:spacing w:before="0" w:after="283"/>
              <w:jc w:val="left"/>
              <w:rPr>
                <w:b/>
              </w:rPr>
            </w:pPr>
            <w:r>
              <w:rPr>
                <w:b/>
              </w:rPr>
              <w:t>Certain Tax Filings</w:t>
            </w:r>
          </w:p>
        </w:tc>
        <w:tc>
          <w:tcPr>
            <w:tcW w:w="275" w:type="dxa"/>
            <w:tcBorders/>
            <w:shd w:fill="CCEEFF" w:val="clear"/>
            <w:vAlign w:val="center"/>
          </w:tcPr>
          <w:p>
            <w:pPr>
              <w:pStyle w:val="TableContents"/>
              <w:bidi w:val="0"/>
              <w:spacing w:before="0" w:after="283"/>
              <w:jc w:val="center"/>
              <w:rPr>
                <w:b/>
              </w:rPr>
            </w:pPr>
            <w:r>
              <w:rPr>
                <w:b/>
              </w:rPr>
              <w:t>76</w:t>
            </w:r>
          </w:p>
        </w:tc>
      </w:tr>
      <w:tr>
        <w:trPr/>
        <w:tc>
          <w:tcPr>
            <w:tcW w:w="275"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b/>
              </w:rPr>
            </w:pPr>
            <w:r>
              <w:rPr>
                <w:b/>
              </w:rPr>
              <w:t>38</w:t>
            </w:r>
          </w:p>
        </w:tc>
        <w:tc>
          <w:tcPr>
            <w:tcW w:w="4355" w:type="dxa"/>
            <w:tcBorders/>
            <w:shd w:fill="CCEEFF" w:val="clear"/>
            <w:vAlign w:val="center"/>
          </w:tcPr>
          <w:p>
            <w:pPr>
              <w:pStyle w:val="TableContents"/>
              <w:bidi w:val="0"/>
              <w:spacing w:before="0" w:after="283"/>
              <w:jc w:val="left"/>
              <w:rPr>
                <w:b/>
              </w:rPr>
            </w:pPr>
            <w:r>
              <w:rPr>
                <w:b/>
              </w:rPr>
              <w:t>Business Opportunities</w:t>
            </w:r>
          </w:p>
        </w:tc>
        <w:tc>
          <w:tcPr>
            <w:tcW w:w="275" w:type="dxa"/>
            <w:tcBorders/>
            <w:shd w:fill="CCEEFF" w:val="clear"/>
            <w:vAlign w:val="center"/>
          </w:tcPr>
          <w:p>
            <w:pPr>
              <w:pStyle w:val="TableContents"/>
              <w:bidi w:val="0"/>
              <w:spacing w:before="0" w:after="283"/>
              <w:jc w:val="center"/>
              <w:rPr>
                <w:b/>
              </w:rPr>
            </w:pPr>
            <w:r>
              <w:rPr>
                <w:b/>
              </w:rPr>
              <w:t>77</w:t>
            </w:r>
          </w:p>
        </w:tc>
      </w:tr>
      <w:tr>
        <w:trPr/>
        <w:tc>
          <w:tcPr>
            <w:tcW w:w="275"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b/>
              </w:rPr>
            </w:pPr>
            <w:r>
              <w:rPr>
                <w:b/>
              </w:rPr>
              <w:t>39</w:t>
            </w:r>
          </w:p>
        </w:tc>
        <w:tc>
          <w:tcPr>
            <w:tcW w:w="4355" w:type="dxa"/>
            <w:tcBorders/>
            <w:shd w:fill="CCEEFF" w:val="clear"/>
            <w:vAlign w:val="center"/>
          </w:tcPr>
          <w:p>
            <w:pPr>
              <w:pStyle w:val="TableContents"/>
              <w:bidi w:val="0"/>
              <w:spacing w:before="0" w:after="283"/>
              <w:jc w:val="left"/>
              <w:rPr>
                <w:b/>
              </w:rPr>
            </w:pPr>
            <w:r>
              <w:rPr>
                <w:b/>
              </w:rPr>
              <w:t>Exclusive Jurisdiction and Forum</w:t>
            </w:r>
          </w:p>
        </w:tc>
        <w:tc>
          <w:tcPr>
            <w:tcW w:w="275" w:type="dxa"/>
            <w:tcBorders/>
            <w:shd w:fill="CCEEFF" w:val="clear"/>
            <w:vAlign w:val="center"/>
          </w:tcPr>
          <w:p>
            <w:pPr>
              <w:pStyle w:val="TableContents"/>
              <w:bidi w:val="0"/>
              <w:spacing w:before="0" w:after="283"/>
              <w:jc w:val="center"/>
              <w:rPr>
                <w:b/>
              </w:rPr>
            </w:pPr>
            <w:r>
              <w:rPr>
                <w:b/>
              </w:rPr>
              <w:t>77</w:t>
            </w:r>
          </w:p>
        </w:tc>
      </w:tr>
      <w:tr>
        <w:trPr/>
        <w:tc>
          <w:tcPr>
            <w:tcW w:w="275" w:type="dxa"/>
            <w:tcBorders/>
            <w:shd w:fill="FFFFFF" w:val="clear"/>
            <w:vAlign w:val="center"/>
          </w:tcPr>
          <w:p>
            <w:pPr>
              <w:pStyle w:val="TableContents"/>
              <w:bidi w:val="0"/>
              <w:spacing w:before="0" w:after="283"/>
              <w:jc w:val="left"/>
              <w:rPr/>
            </w:pPr>
            <w:r>
              <w:rPr/>
              <w:t> </w:t>
            </w:r>
          </w:p>
        </w:tc>
        <w:tc>
          <w:tcPr>
            <w:tcW w:w="43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b/>
              </w:rPr>
            </w:pPr>
            <w:r>
              <w:rPr>
                <w:b/>
              </w:rPr>
              <w:t>40</w:t>
            </w:r>
          </w:p>
        </w:tc>
        <w:tc>
          <w:tcPr>
            <w:tcW w:w="4355" w:type="dxa"/>
            <w:tcBorders/>
            <w:shd w:fill="CCEEFF" w:val="clear"/>
            <w:vAlign w:val="center"/>
          </w:tcPr>
          <w:p>
            <w:pPr>
              <w:pStyle w:val="TableContents"/>
              <w:bidi w:val="0"/>
              <w:spacing w:before="0" w:after="283"/>
              <w:jc w:val="left"/>
              <w:rPr>
                <w:b/>
              </w:rPr>
            </w:pPr>
            <w:r>
              <w:rPr>
                <w:b/>
              </w:rPr>
              <w:t>Series A Majority reserved matters</w:t>
            </w:r>
          </w:p>
        </w:tc>
        <w:tc>
          <w:tcPr>
            <w:tcW w:w="275" w:type="dxa"/>
            <w:tcBorders/>
            <w:shd w:fill="CCEEFF" w:val="clear"/>
            <w:vAlign w:val="center"/>
          </w:tcPr>
          <w:p>
            <w:pPr>
              <w:pStyle w:val="TableContents"/>
              <w:bidi w:val="0"/>
              <w:spacing w:before="0" w:after="283"/>
              <w:jc w:val="center"/>
              <w:rPr>
                <w:b/>
              </w:rPr>
            </w:pPr>
            <w:r>
              <w:rPr>
                <w:b/>
              </w:rPr>
              <w:t>78</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July 29, 2026 and effective on August 13, 2026)</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80"/>
        <w:gridCol w:w="9849"/>
      </w:tblGrid>
      <w:tr>
        <w:trPr/>
        <w:tc>
          <w:tcPr>
            <w:tcW w:w="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49" w:type="dxa"/>
            <w:tcBorders/>
            <w:vAlign w:val="center"/>
          </w:tcPr>
          <w:p>
            <w:pPr>
              <w:pStyle w:val="TableContents"/>
              <w:bidi w:val="0"/>
              <w:spacing w:before="0" w:after="283"/>
              <w:jc w:val="both"/>
              <w:rPr/>
            </w:pPr>
            <w:r>
              <w:rPr/>
              <w:t>Definitions, interpretation and exclusion of Table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653"/>
        <w:gridCol w:w="9475"/>
      </w:tblGrid>
      <w:tr>
        <w:trPr/>
        <w:tc>
          <w:tcPr>
            <w:tcW w:w="7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pPr>
            <w:r>
              <w:rPr/>
              <w:t>1.1</w:t>
            </w:r>
          </w:p>
        </w:tc>
        <w:tc>
          <w:tcPr>
            <w:tcW w:w="9475" w:type="dxa"/>
            <w:tcBorders/>
            <w:vAlign w:val="center"/>
          </w:tcPr>
          <w:p>
            <w:pPr>
              <w:pStyle w:val="TableContents"/>
              <w:bidi w:val="0"/>
              <w:spacing w:before="0" w:after="283"/>
              <w:jc w:val="both"/>
              <w:rPr/>
            </w:pPr>
            <w:r>
              <w:rPr/>
              <w:t>In these Articles, the following definitions apply:</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Accrued Value</w:t>
      </w:r>
      <w:r>
        <w:rPr>
          <w:rFonts w:ascii="Times New Roman;Times;Serif" w:hAnsi="Times New Roman;Times;Serif"/>
          <w:b w:val="false"/>
          <w:i w:val="false"/>
          <w:caps w:val="false"/>
          <w:smallCaps w:val="false"/>
          <w:sz w:val="20"/>
        </w:rPr>
        <w:t xml:space="preserve"> means, in relation to any Series A Share, the Stated Value together with any unpaid Arrears in respect of that Series A Share (subject to Equitable Adjustment and any adjustment pursuant to Article 25.8);</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any person that, directly or indirectly through one or more intermediaries, Controls or is Controlled by or is under common Control with a person;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Applicable Law </w:t>
      </w:r>
      <w:r>
        <w:rPr>
          <w:rFonts w:ascii="Times New Roman;Times;Serif" w:hAnsi="Times New Roman;Times;Serif"/>
          <w:b w:val="false"/>
          <w:i w:val="false"/>
          <w:caps w:val="false"/>
          <w:smallCaps w:val="false"/>
          <w:sz w:val="20"/>
        </w:rPr>
        <w:t>means, with respect to any person, all provisions of laws, statutes, ordinances, rules, regulations, permits, certificates, judgments, decisions, decrees or orders of any governmental authority applicable to such person;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Arrears</w:t>
      </w:r>
      <w:r>
        <w:rPr>
          <w:rFonts w:ascii="Times New Roman;Times;Serif" w:hAnsi="Times New Roman;Times;Serif"/>
          <w:b w:val="false"/>
          <w:i w:val="false"/>
          <w:caps w:val="false"/>
          <w:smallCaps w:val="false"/>
          <w:sz w:val="20"/>
        </w:rPr>
        <w:t xml:space="preserve"> means, in relation to any Share, all arrears of any dividend or other sums payable in respect of that Share, whether or not earned or declared and irrespective of whether or not the Company has had at any time sufficient Available Reserves to pay such dividend or sums, together with all other amounts payable on that Share;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these amended and restated articles of association as amended, restated, supplemented and/or otherwise modified from time to time: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12"/>
        <w:gridCol w:w="9513"/>
      </w:tblGrid>
      <w:tr>
        <w:trPr/>
        <w:tc>
          <w:tcPr>
            <w:tcW w:w="8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pPr>
            <w:r>
              <w:rPr/>
              <w:t>(b)</w:t>
            </w:r>
          </w:p>
        </w:tc>
        <w:tc>
          <w:tcPr>
            <w:tcW w:w="9513" w:type="dxa"/>
            <w:tcBorders/>
            <w:vAlign w:val="center"/>
          </w:tcPr>
          <w:p>
            <w:pPr>
              <w:pStyle w:val="TableContents"/>
              <w:bidi w:val="0"/>
              <w:spacing w:before="0" w:after="283"/>
              <w:jc w:val="both"/>
              <w:rPr/>
            </w:pPr>
            <w:r>
              <w:rPr/>
              <w:t>two or more particular articles of these Articles;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Available Proceeds</w:t>
      </w:r>
      <w:r>
        <w:rPr>
          <w:rFonts w:ascii="Times New Roman;Times;Serif" w:hAnsi="Times New Roman;Times;Serif"/>
          <w:b w:val="false"/>
          <w:i w:val="false"/>
          <w:caps w:val="false"/>
          <w:smallCaps w:val="false"/>
          <w:sz w:val="20"/>
        </w:rPr>
        <w:t xml:space="preserve"> means, as appropriate: (i) consideration received by the Company for such Deemed Liquidation Event (net of any retained liabilities associated with the assets sold or technology licensed, or any other expenses associated with the Deemed Liquidation Event or the dissolution of the Company), or (ii) Surplus Assets, in each case as determined in good faith by the Board, together with any other assets of the Company available for distribution to its Members, all to the extent permitted by the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Available Reserves</w:t>
      </w:r>
      <w:r>
        <w:rPr>
          <w:rFonts w:ascii="Times New Roman;Times;Serif" w:hAnsi="Times New Roman;Times;Serif"/>
          <w:b w:val="false"/>
          <w:i w:val="false"/>
          <w:caps w:val="false"/>
          <w:smallCaps w:val="false"/>
          <w:sz w:val="20"/>
        </w:rPr>
        <w:t xml:space="preserve"> means any funds legally available for distribution in accordance with the Act, including out of the realised or unrealised profits of the Company, out of the share premium account, or as otherwise permitted by law;</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xml:space="preserve"> means that certain Business Combination Agreement, dated as of August 25, 2025, by and among the Company, Inflection Point Acquisition Corp. III, IPCX Merger Sub, Inc. and Predecessor Air Water (as amended by: (i) the first amendment dated as of December 31, 2025, by and among Inflection Point Acquisition Corp. III and the Company, and (ii) the second amendment dated as of June 5, 2026, by and among Inflection Point Acquisition Corp. III and the Company), as it may be further amended, modified or supplemented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8"/>
        <w:gridCol w:w="9741"/>
      </w:tblGrid>
      <w:tr>
        <w:trPr/>
        <w:tc>
          <w:tcPr>
            <w:tcW w:w="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(a)</w:t>
            </w:r>
          </w:p>
        </w:tc>
        <w:tc>
          <w:tcPr>
            <w:tcW w:w="9741" w:type="dxa"/>
            <w:tcBorders/>
            <w:vAlign w:val="center"/>
          </w:tcPr>
          <w:p>
            <w:pPr>
              <w:pStyle w:val="TableContents"/>
              <w:bidi w:val="0"/>
              <w:spacing w:before="0" w:after="283"/>
              <w:jc w:val="both"/>
              <w:rPr/>
            </w:pPr>
            <w:r>
              <w:rPr/>
              <w:t>the calendar day when the notice is given or deemed to be given;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36"/>
        <w:gridCol w:w="9712"/>
      </w:tblGrid>
      <w:tr>
        <w:trPr/>
        <w:tc>
          <w:tcPr>
            <w:tcW w:w="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(b)</w:t>
            </w:r>
          </w:p>
        </w:tc>
        <w:tc>
          <w:tcPr>
            <w:tcW w:w="9712" w:type="dxa"/>
            <w:tcBorders/>
            <w:vAlign w:val="center"/>
          </w:tcPr>
          <w:p>
            <w:pPr>
              <w:pStyle w:val="TableContents"/>
              <w:bidi w:val="0"/>
              <w:spacing w:before="0" w:after="283"/>
              <w:jc w:val="both"/>
              <w:rPr/>
            </w:pPr>
            <w:r>
              <w:rPr/>
              <w:t>the calendar day for which it is given or on which it is to take effect;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xml:space="preserve"> means: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the ability to control the composition of the board of directors or equivalent body, directly or indirectly, whether through ownership of voting capital, by contract or otherwise;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the ownership of a majority of the shares or the right to acquire a majority of the shares directly or indirectly;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4"/>
        <w:gridCol w:w="9791"/>
      </w:tblGrid>
      <w:tr>
        <w:trPr/>
        <w:tc>
          <w:tcPr>
            <w:tcW w:w="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(c)</w:t>
            </w:r>
          </w:p>
        </w:tc>
        <w:tc>
          <w:tcPr>
            <w:tcW w:w="9791" w:type="dxa"/>
            <w:tcBorders/>
            <w:vAlign w:val="center"/>
          </w:tcPr>
          <w:p>
            <w:pPr>
              <w:pStyle w:val="TableContents"/>
              <w:bidi w:val="0"/>
              <w:spacing w:before="0" w:after="283"/>
              <w:jc w:val="both"/>
              <w:rPr/>
            </w:pPr>
            <w:r>
              <w:rPr/>
              <w:t>the power to directly or indirectly exercise a majority of the total voting rights,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terms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under common Control with</w:t>
      </w:r>
      <w:r>
        <w:rPr>
          <w:rFonts w:ascii="Times New Roman;Times;Serif" w:hAnsi="Times New Roman;Times;Serif"/>
          <w:b w:val="false"/>
          <w:i w:val="false"/>
          <w:caps w:val="false"/>
          <w:smallCaps w:val="false"/>
          <w:sz w:val="20"/>
        </w:rPr>
        <w:t xml:space="preserve"> have corresponding meanings;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Controlling Interest</w:t>
      </w:r>
      <w:r>
        <w:rPr>
          <w:rFonts w:ascii="Times New Roman;Times;Serif" w:hAnsi="Times New Roman;Times;Serif"/>
          <w:b w:val="false"/>
          <w:i w:val="false"/>
          <w:caps w:val="false"/>
          <w:smallCaps w:val="false"/>
          <w:sz w:val="20"/>
        </w:rPr>
        <w:t xml:space="preserve"> means an interest in shares giving to the holder or holders Control;</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in relation to each Series A Share, US$12.00 (subject to Equitable Adjustment and, if applicable, adjusted as referred to in Articles 11.3 to 11.7);</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Ratio</w:t>
      </w:r>
      <w:r>
        <w:rPr>
          <w:rFonts w:ascii="Times New Roman;Times;Serif" w:hAnsi="Times New Roman;Times;Serif"/>
          <w:b w:val="false"/>
          <w:i w:val="false"/>
          <w:caps w:val="false"/>
          <w:smallCaps w:val="false"/>
          <w:sz w:val="20"/>
        </w:rPr>
        <w:t xml:space="preserve"> means, with respect to each Series A Share, the number of Ordinary Shares determined by dividing the Accrued Value by the Conversion Price;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xml:space="preserve"> means, collectively, the Ordinary Shares issuable upon conversion of the Series A Shares in accordance with the terms hereof;</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Adoption</w:t>
      </w:r>
      <w:r>
        <w:rPr>
          <w:rFonts w:ascii="Times New Roman;Times;Serif" w:hAnsi="Times New Roman;Times;Serif"/>
          <w:b w:val="false"/>
          <w:i w:val="false"/>
          <w:caps w:val="false"/>
          <w:smallCaps w:val="false"/>
          <w:sz w:val="20"/>
        </w:rPr>
        <w:t xml:space="preserve"> means the date on which these Articles were adopted;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Deemed Liquidation Event</w:t>
      </w:r>
      <w:r>
        <w:rPr>
          <w:rFonts w:ascii="Times New Roman;Times;Serif" w:hAnsi="Times New Roman;Times;Serif"/>
          <w:b w:val="false"/>
          <w:i w:val="false"/>
          <w:caps w:val="false"/>
          <w:smallCaps w:val="false"/>
          <w:sz w:val="20"/>
        </w:rPr>
        <w:t xml:space="preserve"> means: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a merger or consolidation in which: (A) the Company is a constituent party; or (B) a subsidiary of the Company is a constituent party and the Company issues Shares pursuant to such merger or consolidation; provided, that, a Deemed Liquidation Event shall not include any such merger or consolidation involving the Company or a subsidiary in which the Shares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company immediately following such merger or consolidation, the parent company of such surviving or resulting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(A) the sale, in a single transaction or series of related transactions, by the Company or any subsidiary of the Company of all or substantially all of the assets of the Company and its subsidiaries taken as a whole; or (B) the sale or disposition (whether by merger, consolidation or otherwise, and whether in a single transaction or a series of related transactions) of one (1) or more subsidiaries of the Company if substantially all of the assets of the Company and its subsidiaries taken as a whole are held by such subsidiary or subsidiaries, except where such sale is to a wholly owned subsidiary of the Company;</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the Nasdaq Stock Market LLC in the United States of America for so long as the Company’s Shares are there listed and any other stock exchange on which the Company’s Shares are listed for trading;</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xml:space="preserve"> shall be construed accordingly;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Disposal</w:t>
      </w:r>
      <w:r>
        <w:rPr>
          <w:rFonts w:ascii="Times New Roman;Times;Serif" w:hAnsi="Times New Roman;Times;Serif"/>
          <w:b w:val="false"/>
          <w:i w:val="false"/>
          <w:caps w:val="false"/>
          <w:smallCaps w:val="false"/>
          <w:sz w:val="20"/>
        </w:rPr>
        <w:t xml:space="preserve"> means the disposal by the Company of all, or a substantial part of, its business and assets (where disposal may include the grant by the Company of an exclusive licence of intellectual property not entered into in the ordinary course of business);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means the date that the Registration Statement filed by the Company pursuant to the Registration Rights Agreement is first declared effective by the Commission;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Equitable Adjustment</w:t>
      </w:r>
      <w:r>
        <w:rPr>
          <w:rFonts w:ascii="Times New Roman;Times;Serif" w:hAnsi="Times New Roman;Times;Serif"/>
          <w:b w:val="false"/>
          <w:i w:val="false"/>
          <w:caps w:val="false"/>
          <w:smallCaps w:val="false"/>
          <w:sz w:val="20"/>
        </w:rPr>
        <w:t xml:space="preserve"> means, in the event that the number of outstanding Series A Shares or Ordinary Shares, as applicable, shall have been changed into a different number of shares or a different class by reason of any reclassification, subdivision, consolidation, reorganisation, recapitalization, combination, exchange of shares, readjustment, or other similar transaction, or a share dividend or share distribution has been effectuated, an equitable adjustment as necessary to provide the holders of Series A Shares with the same economic effect as is contemplated by these Articles prior to such event;</w:t>
      </w:r>
    </w:p>
    <w:p>
      <w:pPr>
        <w:pStyle w:val="TextBody"/>
        <w:bidi w:val="0"/>
        <w:spacing w:before="0" w:after="0"/>
        <w:ind w:left="720" w:right="0" w:hanging="11"/>
        <w:jc w:val="both"/>
        <w:rPr>
          <w:caps w:val="false"/>
          <w:smallCaps w:val="false"/>
        </w:rPr>
      </w:pPr>
      <w:r>
        <w:rPr>
          <w:caps w:val="false"/>
          <w:smallCaps w:val="false"/>
        </w:rPr>
        <w:t> </w:t>
      </w:r>
    </w:p>
    <w:p>
      <w:pPr>
        <w:pStyle w:val="TextBody"/>
        <w:bidi w:val="0"/>
        <w:spacing w:before="0" w:after="0"/>
        <w:ind w:left="720" w:right="0" w:hanging="1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means the Securities Exchange Act of 1934, as amended, and the rules and regulations promulgated thereunder;</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Family Trust</w:t>
      </w:r>
      <w:r>
        <w:rPr>
          <w:rFonts w:ascii="Times New Roman;Times;Serif" w:hAnsi="Times New Roman;Times;Serif"/>
          <w:b w:val="false"/>
          <w:i w:val="false"/>
          <w:caps w:val="false"/>
          <w:smallCaps w:val="false"/>
          <w:sz w:val="20"/>
        </w:rPr>
        <w:t xml:space="preserve"> means in relation to a Shareholder, a trust set up wholly for the benefit of that Shareholder and/or that Shareholder’s Privileged Relations;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xml:space="preserve"> means the lesser of (i) $5.00 (subject to Equitable Adjustment) and (ii) the Conversion Price then in effect;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in relation to a Share without par value, means that the agreed issue price for that Share has been fully paid or credited as paid in money or money’s worth;</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xml:space="preserve"> means, as regards any body corporate, partnership or unincorporated association carrying on a trade or business with or without a view to profit (other than a Qualifying Company) (a </w:t>
      </w:r>
      <w:r>
        <w:rPr>
          <w:rFonts w:ascii="Times New Roman;Times;Serif" w:hAnsi="Times New Roman;Times;Serif"/>
          <w:b/>
          <w:i w:val="false"/>
          <w:caps w:val="false"/>
          <w:smallCaps w:val="false"/>
          <w:sz w:val="20"/>
        </w:rPr>
        <w:t>Principal Undertaking</w:t>
      </w:r>
      <w:r>
        <w:rPr>
          <w:rFonts w:ascii="Times New Roman;Times;Serif" w:hAnsi="Times New Roman;Times;Serif"/>
          <w:b w:val="false"/>
          <w:i w:val="false"/>
          <w:caps w:val="false"/>
          <w:smallCaps w:val="false"/>
          <w:sz w:val="20"/>
        </w:rPr>
        <w:t>):</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939"/>
        <w:gridCol w:w="9137"/>
      </w:tblGrid>
      <w:tr>
        <w:trPr/>
        <w:tc>
          <w:tcPr>
            <w:tcW w:w="1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pPr>
            <w:r>
              <w:rPr/>
              <w:t>(a)</w:t>
            </w:r>
          </w:p>
        </w:tc>
        <w:tc>
          <w:tcPr>
            <w:tcW w:w="9137" w:type="dxa"/>
            <w:tcBorders/>
            <w:vAlign w:val="center"/>
          </w:tcPr>
          <w:p>
            <w:pPr>
              <w:pStyle w:val="TableContents"/>
              <w:bidi w:val="0"/>
              <w:spacing w:before="0" w:after="283"/>
              <w:jc w:val="both"/>
              <w:rPr/>
            </w:pPr>
            <w:r>
              <w:rPr/>
              <w:t>such Principal Undertaking;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88"/>
        <w:gridCol w:w="9654"/>
      </w:tblGrid>
      <w:tr>
        <w:trPr/>
        <w:tc>
          <w:tcPr>
            <w:tcW w:w="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pPr>
            <w:r>
              <w:rPr/>
              <w:t>(b)</w:t>
            </w:r>
          </w:p>
        </w:tc>
        <w:tc>
          <w:tcPr>
            <w:tcW w:w="9654" w:type="dxa"/>
            <w:tcBorders/>
            <w:vAlign w:val="center"/>
          </w:tcPr>
          <w:p>
            <w:pPr>
              <w:pStyle w:val="TableContents"/>
              <w:bidi w:val="0"/>
              <w:spacing w:before="0" w:after="283"/>
              <w:jc w:val="both"/>
              <w:rPr/>
            </w:pPr>
            <w:r>
              <w:rPr/>
              <w:t>each Parent Undertaking of such Principal Undertaking;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both"/>
              <w:rPr/>
            </w:pPr>
            <w:r>
              <w:rPr/>
              <w:t>each subsidiary undertaking of (i) such Principal Undertaking or (ii) any parent undertaking of such Principal Undertaking,</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case, with respect to the holding of interests in Shares, any nominee or custodian of such interests in Shares);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Group Company</w:t>
      </w:r>
      <w:r>
        <w:rPr>
          <w:rFonts w:ascii="Times New Roman;Times;Serif" w:hAnsi="Times New Roman;Times;Serif"/>
          <w:b w:val="false"/>
          <w:i w:val="false"/>
          <w:caps w:val="false"/>
          <w:smallCaps w:val="false"/>
          <w:sz w:val="20"/>
        </w:rPr>
        <w:t xml:space="preserve"> means the Company, any subsidiary from time to time of the Company, and any subsidiary from time to time of a subsidiary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Inflection Point Entities</w:t>
      </w:r>
      <w:r>
        <w:rPr>
          <w:rFonts w:ascii="Times New Roman;Times;Serif" w:hAnsi="Times New Roman;Times;Serif"/>
          <w:b w:val="false"/>
          <w:i w:val="false"/>
          <w:caps w:val="false"/>
          <w:smallCaps w:val="false"/>
          <w:sz w:val="20"/>
        </w:rPr>
        <w:t xml:space="preserve"> means, collectively, Inflection Point Asset Management LLC, Newtyn Management LLC, Alto Opportunity Master Fund, SPC – Segregated Master Portfolio B, and their respective Affiliates;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amended and restated memorandum of association of the Company as amended, restated, supplemented and/or otherwise modified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Securities</w:t>
      </w:r>
      <w:r>
        <w:rPr>
          <w:rFonts w:ascii="Times New Roman;Times;Serif" w:hAnsi="Times New Roman;Times;Serif"/>
          <w:b w:val="false"/>
          <w:i w:val="false"/>
          <w:caps w:val="false"/>
          <w:smallCaps w:val="false"/>
          <w:sz w:val="20"/>
        </w:rPr>
        <w:t xml:space="preserve"> means any Shares granted or issued (or to be granted or issued) by the Company after the Date of Adoption excluding for the avoidance of doubt any treasury shares transferred by the Company after the Date of Adoption;</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the votes cast by, or on behalf of, the Members entitled to vote thereon in person or by proxy or, in the case of corporations, by their duly authorised representatives, at that General Meeting;</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Share </w:t>
      </w:r>
      <w:r>
        <w:rPr>
          <w:rFonts w:ascii="Times New Roman;Times;Serif" w:hAnsi="Times New Roman;Times;Serif"/>
          <w:b w:val="false"/>
          <w:i w:val="false"/>
          <w:caps w:val="false"/>
          <w:smallCaps w:val="false"/>
          <w:sz w:val="20"/>
        </w:rPr>
        <w:t>means an ordinary share of a par value of US$0.0001 each in the capital of the Company, and having the rights provided for in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in relation to a Share without par value, means that the agreed issue price for that Share has not been fully paid or credited as paid in money or money’s worth;</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Predecessor Air Water </w:t>
      </w:r>
      <w:r>
        <w:rPr>
          <w:rFonts w:ascii="Times New Roman;Times;Serif" w:hAnsi="Times New Roman;Times;Serif"/>
          <w:b w:val="false"/>
          <w:i w:val="false"/>
          <w:caps w:val="false"/>
          <w:smallCaps w:val="false"/>
          <w:sz w:val="20"/>
        </w:rPr>
        <w:t>means Air Water Ventures Holdings Limited, a Cayman Islands exempted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Privileged Relation</w:t>
      </w:r>
      <w:r>
        <w:rPr>
          <w:rFonts w:ascii="Times New Roman;Times;Serif" w:hAnsi="Times New Roman;Times;Serif"/>
          <w:b w:val="false"/>
          <w:i w:val="false"/>
          <w:caps w:val="false"/>
          <w:smallCaps w:val="false"/>
          <w:sz w:val="20"/>
        </w:rPr>
        <w:t xml:space="preserve"> means the spouse of a Shareholder and the Shareholder’s children and grandchildren (including step and adopted children and grandchildren);</w:t>
      </w:r>
    </w:p>
    <w:p>
      <w:pPr>
        <w:pStyle w:val="TextBody"/>
        <w:bidi w:val="0"/>
        <w:spacing w:before="0" w:after="0"/>
        <w:ind w:left="709" w:right="0" w:firstLine="11"/>
        <w:jc w:val="both"/>
        <w:rPr>
          <w:caps w:val="false"/>
          <w:smallCaps w:val="false"/>
        </w:rPr>
      </w:pPr>
      <w:r>
        <w:rPr>
          <w:caps w:val="false"/>
          <w:smallCaps w:val="false"/>
        </w:rPr>
        <w:t> </w:t>
      </w:r>
    </w:p>
    <w:p>
      <w:pPr>
        <w:pStyle w:val="TextBody"/>
        <w:bidi w:val="0"/>
        <w:spacing w:before="0" w:after="0"/>
        <w:ind w:left="709"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 Agreements</w:t>
      </w:r>
      <w:r>
        <w:rPr>
          <w:rFonts w:ascii="Times New Roman;Times;Serif" w:hAnsi="Times New Roman;Times;Serif"/>
          <w:b w:val="false"/>
          <w:i w:val="false"/>
          <w:caps w:val="false"/>
          <w:smallCaps w:val="false"/>
          <w:sz w:val="20"/>
        </w:rPr>
        <w:t xml:space="preserve"> means the several Subscription Agreements, between Predecessor Air Water and certain original Series A Shareholders, as amended, modified or supplemented from time to time in accordance with their respective terms;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Qualifying Company</w:t>
      </w:r>
      <w:r>
        <w:rPr>
          <w:rFonts w:ascii="Times New Roman;Times;Serif" w:hAnsi="Times New Roman;Times;Serif"/>
          <w:b w:val="false"/>
          <w:i w:val="false"/>
          <w:caps w:val="false"/>
          <w:smallCaps w:val="false"/>
          <w:sz w:val="20"/>
        </w:rPr>
        <w:t xml:space="preserve"> means as regards any individual, a company the entire issued share capital of which is held (legally and beneficially) by such individual (together with their Privileged Relations and Family Trusts) and over which that individual exercises Control;</w:t>
      </w:r>
    </w:p>
    <w:p>
      <w:pPr>
        <w:pStyle w:val="TextBody"/>
        <w:bidi w:val="0"/>
        <w:spacing w:before="0" w:after="0"/>
        <w:ind w:left="709" w:right="0" w:firstLine="11"/>
        <w:jc w:val="both"/>
        <w:rPr>
          <w:caps w:val="false"/>
          <w:smallCaps w:val="false"/>
        </w:rPr>
      </w:pPr>
      <w:r>
        <w:rPr>
          <w:caps w:val="false"/>
          <w:smallCaps w:val="false"/>
        </w:rPr>
        <w:t> </w:t>
      </w:r>
    </w:p>
    <w:p>
      <w:pPr>
        <w:pStyle w:val="TextBody"/>
        <w:bidi w:val="0"/>
        <w:spacing w:before="0" w:after="0"/>
        <w:ind w:left="709"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means the Registration Rights Agreement, dated as of the Date of Adoption, among the Company, the original Series A Shareholders and certain other Members;</w:t>
      </w:r>
    </w:p>
    <w:p>
      <w:pPr>
        <w:pStyle w:val="TextBody"/>
        <w:bidi w:val="0"/>
        <w:spacing w:before="0" w:after="0"/>
        <w:ind w:left="709" w:right="0" w:firstLine="11"/>
        <w:jc w:val="both"/>
        <w:rPr>
          <w:caps w:val="false"/>
          <w:smallCaps w:val="false"/>
        </w:rPr>
      </w:pPr>
      <w:r>
        <w:rPr>
          <w:caps w:val="false"/>
          <w:smallCaps w:val="false"/>
        </w:rPr>
        <w:t> </w:t>
      </w:r>
    </w:p>
    <w:p>
      <w:pPr>
        <w:pStyle w:val="TextBody"/>
        <w:bidi w:val="0"/>
        <w:spacing w:before="0" w:after="0"/>
        <w:ind w:left="709"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means a registration statement meeting the requirements set forth in the Registration Rights Agreement and covering the resale of the Conversion Shares by each original Series A Shareholder as provided for in the Registration Rights Agreement;</w:t>
      </w:r>
    </w:p>
    <w:p>
      <w:pPr>
        <w:pStyle w:val="TextBody"/>
        <w:bidi w:val="0"/>
        <w:spacing w:before="0" w:after="0"/>
        <w:ind w:left="720" w:right="0" w:hanging="11"/>
        <w:jc w:val="both"/>
        <w:rPr>
          <w:caps w:val="false"/>
          <w:smallCaps w:val="false"/>
        </w:rPr>
      </w:pPr>
      <w:r>
        <w:rPr>
          <w:caps w:val="false"/>
          <w:smallCaps w:val="false"/>
        </w:rPr>
        <w:t> </w:t>
      </w:r>
    </w:p>
    <w:p>
      <w:pPr>
        <w:pStyle w:val="TextBody"/>
        <w:bidi w:val="0"/>
        <w:spacing w:before="0" w:after="0"/>
        <w:ind w:left="720" w:right="0" w:hanging="1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xml:space="preserve">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Series A Majority</w:t>
      </w:r>
      <w:r>
        <w:rPr>
          <w:rFonts w:ascii="Times New Roman;Times;Serif" w:hAnsi="Times New Roman;Times;Serif"/>
          <w:b w:val="false"/>
          <w:i w:val="false"/>
          <w:caps w:val="false"/>
          <w:smallCaps w:val="false"/>
          <w:sz w:val="20"/>
        </w:rPr>
        <w:t xml:space="preserve"> means the holders of more than 50%, by number, of the Series A Shares in issue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Series A Majority Consent</w:t>
      </w:r>
      <w:r>
        <w:rPr>
          <w:rFonts w:ascii="Times New Roman;Times;Serif" w:hAnsi="Times New Roman;Times;Serif"/>
          <w:b w:val="false"/>
          <w:i w:val="false"/>
          <w:caps w:val="false"/>
          <w:smallCaps w:val="false"/>
          <w:sz w:val="20"/>
        </w:rPr>
        <w:t xml:space="preserve"> means the consent of the Series A Majority;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Series A Share </w:t>
      </w:r>
      <w:r>
        <w:rPr>
          <w:rFonts w:ascii="Times New Roman;Times;Serif" w:hAnsi="Times New Roman;Times;Serif"/>
          <w:b w:val="false"/>
          <w:i w:val="false"/>
          <w:caps w:val="false"/>
          <w:smallCaps w:val="false"/>
          <w:sz w:val="20"/>
        </w:rPr>
        <w:t>means a series A redeemable preference share of a par value of US$0.0001 each in the capital of the Company, and having the rights provided for in these Articles;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Series A Shareholder</w:t>
      </w:r>
      <w:r>
        <w:rPr>
          <w:rFonts w:ascii="Times New Roman;Times;Serif" w:hAnsi="Times New Roman;Times;Serif"/>
          <w:b w:val="false"/>
          <w:i w:val="false"/>
          <w:caps w:val="false"/>
          <w:smallCaps w:val="false"/>
          <w:sz w:val="20"/>
        </w:rPr>
        <w:t xml:space="preserve"> means any holder of Series A Shares from time to time;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6"/>
        <w:gridCol w:w="9869"/>
      </w:tblGrid>
      <w:tr>
        <w:trPr/>
        <w:tc>
          <w:tcPr>
            <w:tcW w:w="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283"/>
              <w:jc w:val="both"/>
              <w:rPr/>
            </w:pPr>
            <w:r>
              <w:rPr/>
              <w:t>includes stock (except where a distinction between shares and stock is expressed or implied);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81"/>
        <w:gridCol w:w="9662"/>
      </w:tblGrid>
      <w:tr>
        <w:trPr/>
        <w:tc>
          <w:tcPr>
            <w:tcW w:w="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pPr>
            <w:r>
              <w:rPr/>
              <w:t>(b)</w:t>
            </w:r>
          </w:p>
        </w:tc>
        <w:tc>
          <w:tcPr>
            <w:tcW w:w="9662" w:type="dxa"/>
            <w:tcBorders/>
            <w:vAlign w:val="center"/>
          </w:tcPr>
          <w:p>
            <w:pPr>
              <w:pStyle w:val="TableContents"/>
              <w:bidi w:val="0"/>
              <w:spacing w:before="0" w:after="283"/>
              <w:jc w:val="both"/>
              <w:rPr/>
            </w:pPr>
            <w:r>
              <w:rPr/>
              <w:t>where the context permits, also includes a fraction of a Share;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has the meaning given to that term in the Act;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Stated Value</w:t>
      </w:r>
      <w:r>
        <w:rPr>
          <w:rFonts w:ascii="Times New Roman;Times;Serif" w:hAnsi="Times New Roman;Times;Serif"/>
          <w:b w:val="false"/>
          <w:i w:val="false"/>
          <w:caps w:val="false"/>
          <w:smallCaps w:val="false"/>
          <w:sz w:val="20"/>
        </w:rPr>
        <w:t xml:space="preserve"> means, in relation to each Series A Share, the aggregate amount, of US$1,000;</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Surplus Assets</w:t>
      </w:r>
      <w:r>
        <w:rPr>
          <w:rFonts w:ascii="Times New Roman;Times;Serif" w:hAnsi="Times New Roman;Times;Serif"/>
          <w:b w:val="false"/>
          <w:i w:val="false"/>
          <w:caps w:val="false"/>
          <w:smallCaps w:val="false"/>
          <w:sz w:val="20"/>
        </w:rPr>
        <w:t xml:space="preserve"> means surplus assets of the Company remaining after payment of or provisioning form its liabilities, together with any other assets of the Company available for distribution to its Members, to the extent that the Company is lawfully permitted to do so;</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Tax Filing Authorised Person </w:t>
      </w:r>
      <w:r>
        <w:rPr>
          <w:rFonts w:ascii="Times New Roman;Times;Serif" w:hAnsi="Times New Roman;Times;Serif"/>
          <w:b w:val="false"/>
          <w:i w:val="false"/>
          <w:caps w:val="false"/>
          <w:smallCaps w:val="false"/>
          <w:sz w:val="20"/>
        </w:rPr>
        <w:t>means such person as any director shall designate from time to time, acting severally;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means a day on which the Designated Stock Exchange is open for business.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2.20; and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In the interpretation of these Articles, the following provisions apply unless the context otherwise requires: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t>A reference in these Articles to a statute is a reference to a statute of the Cayman Islands as known by its short title, and includes:</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93"/>
        <w:gridCol w:w="9748"/>
      </w:tblGrid>
      <w:tr>
        <w:trPr/>
        <w:tc>
          <w:tcPr>
            <w:tcW w:w="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(i)</w:t>
            </w:r>
          </w:p>
        </w:tc>
        <w:tc>
          <w:tcPr>
            <w:tcW w:w="9748" w:type="dxa"/>
            <w:tcBorders/>
            <w:vAlign w:val="center"/>
          </w:tcPr>
          <w:p>
            <w:pPr>
              <w:pStyle w:val="TableContents"/>
              <w:bidi w:val="0"/>
              <w:spacing w:before="0" w:after="283"/>
              <w:jc w:val="both"/>
              <w:rPr/>
            </w:pPr>
            <w:r>
              <w:rPr/>
              <w:t>any statutory modification, amendment or re-enactment; and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8"/>
        <w:gridCol w:w="9699"/>
      </w:tblGrid>
      <w:tr>
        <w:trPr/>
        <w:tc>
          <w:tcPr>
            <w:tcW w:w="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(ii)</w:t>
            </w:r>
          </w:p>
        </w:tc>
        <w:tc>
          <w:tcPr>
            <w:tcW w:w="9699" w:type="dxa"/>
            <w:tcBorders/>
            <w:vAlign w:val="center"/>
          </w:tcPr>
          <w:p>
            <w:pPr>
              <w:pStyle w:val="TableContents"/>
              <w:bidi w:val="0"/>
              <w:spacing w:before="0" w:after="283"/>
              <w:jc w:val="both"/>
              <w:rPr/>
            </w:pPr>
            <w:r>
              <w:rPr/>
              <w:t>any subordinate legislation or regulations issued under that statute.</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Headings are inserted for convenience only and do not affect the interpretation of these Articles, unless there is ambiguity.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If a day on which any act, matter or thing is to be done under these Articles is not a Business Day, the act, matter or thing must be done on the next Business Day.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both"/>
              <w:rPr/>
            </w:pPr>
            <w:r>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283"/>
              <w:jc w:val="both"/>
              <w:rPr/>
            </w:pPr>
            <w:r>
              <w:rPr/>
              <w:t xml:space="preserve">A reference to a </w:t>
            </w:r>
            <w:r>
              <w:rPr>
                <w:b/>
              </w:rPr>
              <w:t>person</w:t>
            </w:r>
            <w:r>
              <w:rPr/>
              <w:t xml:space="preserve"> includes, as appropriate, a company, trust, partnership, joint venture, association, body corporate or government agency.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283"/>
              <w:jc w:val="both"/>
              <w:rPr/>
            </w:pPr>
            <w:r>
              <w:rPr/>
              <w:t>Where a word or phrase is given a defined meaning another part of speech or grammatical form in respect to that word or phrase has a corresponding meaning.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(g)</w:t>
            </w:r>
          </w:p>
        </w:tc>
        <w:tc>
          <w:tcPr>
            <w:tcW w:w="9892" w:type="dxa"/>
            <w:tcBorders/>
            <w:vAlign w:val="center"/>
          </w:tcPr>
          <w:p>
            <w:pPr>
              <w:pStyle w:val="TableContents"/>
              <w:bidi w:val="0"/>
              <w:spacing w:before="0" w:after="283"/>
              <w:jc w:val="both"/>
              <w:rPr/>
            </w:pPr>
            <w:r>
              <w:rPr/>
              <w:t>All references to time are to be calculated by reference to time in the place where the Company’s registered office is located.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both"/>
              <w:rPr/>
            </w:pPr>
            <w:r>
              <w:rPr/>
              <w:t xml:space="preserve">The words </w:t>
            </w:r>
            <w:r>
              <w:rPr>
                <w:b/>
              </w:rPr>
              <w:t>written</w:t>
            </w:r>
            <w:r>
              <w:rPr/>
              <w:t xml:space="preserve"> and </w:t>
            </w:r>
            <w:r>
              <w:rPr>
                <w:b/>
              </w:rPr>
              <w:t>in writing</w:t>
            </w:r>
            <w:r>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 xml:space="preserve">The words </w:t>
            </w:r>
            <w:r>
              <w:rPr>
                <w:b/>
              </w:rPr>
              <w:t>including</w:t>
            </w:r>
            <w:r>
              <w:rPr/>
              <w:t xml:space="preserve">, </w:t>
            </w:r>
            <w:r>
              <w:rPr>
                <w:b/>
              </w:rPr>
              <w:t>include</w:t>
            </w:r>
            <w:r>
              <w:rPr/>
              <w:t xml:space="preserve"> and </w:t>
            </w:r>
            <w:r>
              <w:rPr>
                <w:b/>
              </w:rPr>
              <w:t>in particular</w:t>
            </w:r>
            <w:r>
              <w:rPr/>
              <w:t xml:space="preserve"> or any similar expression are to be construed without limitation.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(j)</w:t>
            </w:r>
          </w:p>
        </w:tc>
        <w:tc>
          <w:tcPr>
            <w:tcW w:w="9969" w:type="dxa"/>
            <w:tcBorders/>
            <w:vAlign w:val="center"/>
          </w:tcPr>
          <w:p>
            <w:pPr>
              <w:pStyle w:val="TableContents"/>
              <w:bidi w:val="0"/>
              <w:spacing w:before="0" w:after="283"/>
              <w:jc w:val="both"/>
              <w:rPr/>
            </w:pPr>
            <w:r>
              <w:rPr/>
              <w:t>Any requirements as to execution or signature under the Articles including the execution of the Articles themselves can be satisfied in the form of an Electronic Signature.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7"/>
        <w:gridCol w:w="9734"/>
      </w:tblGrid>
      <w:tr>
        <w:trPr/>
        <w:tc>
          <w:tcPr>
            <w:tcW w:w="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(k)</w:t>
            </w:r>
          </w:p>
        </w:tc>
        <w:tc>
          <w:tcPr>
            <w:tcW w:w="9734" w:type="dxa"/>
            <w:tcBorders/>
            <w:vAlign w:val="center"/>
          </w:tcPr>
          <w:p>
            <w:pPr>
              <w:pStyle w:val="TableContents"/>
              <w:bidi w:val="0"/>
              <w:spacing w:before="0" w:after="283"/>
              <w:jc w:val="both"/>
              <w:rPr/>
            </w:pPr>
            <w:r>
              <w:rPr/>
              <w:t>Sections 8 and 19(3) of the Electronic Transactions Act shall not apply.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(l)</w:t>
            </w:r>
          </w:p>
        </w:tc>
        <w:tc>
          <w:tcPr>
            <w:tcW w:w="9956" w:type="dxa"/>
            <w:tcBorders/>
            <w:vAlign w:val="center"/>
          </w:tcPr>
          <w:p>
            <w:pPr>
              <w:pStyle w:val="TableContents"/>
              <w:bidi w:val="0"/>
              <w:spacing w:before="0" w:after="283"/>
              <w:jc w:val="both"/>
              <w:rPr/>
            </w:pPr>
            <w:r>
              <w:rPr/>
              <w:t>The term “holder” in relation to a Share means a person whose name is entered in the register of Members as the holder of such Share.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The headings in these Articles are intended for convenience only and shall not affect the interpretation of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4"/>
        <w:gridCol w:w="9563"/>
      </w:tblGrid>
      <w:tr>
        <w:trPr/>
        <w:tc>
          <w:tcPr>
            <w:tcW w:w="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pPr>
            <w:r>
              <w:rPr/>
              <w:t>1.4</w:t>
            </w:r>
          </w:p>
        </w:tc>
        <w:tc>
          <w:tcPr>
            <w:tcW w:w="9563" w:type="dxa"/>
            <w:tcBorders/>
            <w:vAlign w:val="center"/>
          </w:tcPr>
          <w:p>
            <w:pPr>
              <w:pStyle w:val="TableContents"/>
              <w:bidi w:val="0"/>
              <w:spacing w:before="0" w:after="283"/>
              <w:jc w:val="both"/>
              <w:rPr/>
            </w:pPr>
            <w:r>
              <w:rPr/>
              <w:t>With respect to the calculation of any number of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30"/>
        <w:gridCol w:w="9716"/>
      </w:tblGrid>
      <w:tr>
        <w:trPr/>
        <w:tc>
          <w:tcPr>
            <w:tcW w:w="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(a)</w:t>
            </w:r>
          </w:p>
        </w:tc>
        <w:tc>
          <w:tcPr>
            <w:tcW w:w="9716" w:type="dxa"/>
            <w:tcBorders/>
            <w:vAlign w:val="center"/>
          </w:tcPr>
          <w:p>
            <w:pPr>
              <w:pStyle w:val="TableContents"/>
              <w:bidi w:val="0"/>
              <w:spacing w:before="0" w:after="283"/>
              <w:jc w:val="both"/>
              <w:rPr/>
            </w:pPr>
            <w:r>
              <w:rPr/>
              <w:t>each Ordinary Share shall be counted as one Ordinary Share;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each Series A Share shall be counted as a number of Ordinary Shares (including fractional entitlements) equal to one multiplied by the then applicable Conversion Ratio (provided that if the relevant calculation is being made when a doubt or dispute has arisen in relation to the adjustment to the Conversion Ratio, then the applicable Conversion Ratio for the purposes of this Article shall be the Conversion Ratio as determined by the Board. If the Board has not determined the applicable adjusted Conversion Ratio, then it shall be deemed to be the most recent determined applicable Conversion Ratio, or, in the absence of the same, the unadjusted Conversion Ratio).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9"/>
        <w:gridCol w:w="1695"/>
        <w:gridCol w:w="8051"/>
      </w:tblGrid>
      <w:tr>
        <w:trPr/>
        <w:tc>
          <w:tcPr>
            <w:tcW w:w="45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pPr>
            <w:r>
              <w:rPr/>
              <w:t>2</w:t>
            </w:r>
          </w:p>
        </w:tc>
        <w:tc>
          <w:tcPr>
            <w:tcW w:w="8051" w:type="dxa"/>
            <w:tcBorders/>
            <w:vAlign w:val="center"/>
          </w:tcPr>
          <w:p>
            <w:pPr>
              <w:pStyle w:val="TableContents"/>
              <w:bidi w:val="0"/>
              <w:spacing w:before="0" w:after="283"/>
              <w:jc w:val="both"/>
              <w:rPr/>
            </w:pPr>
            <w:r>
              <w:rPr/>
              <w:t>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Ordinary Shares and Series A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Subject to Article 2.6, the Memorandum of Association and any resolution of the Members to the contrary, and without prejudice to any special rights conferred thereby on the holders of any shares or class of shares, the share capital of the Company shall be divided into Ordinary Shares and Series A Shares with the following rights and restrictions attaching.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 xml:space="preserve">The Series A Shares and the Ordinary Shares shall rank </w:t>
            </w:r>
            <w:r>
              <w:rPr>
                <w:i/>
              </w:rPr>
              <w:t>pari passu</w:t>
            </w:r>
            <w:r>
              <w:rPr/>
              <w:t xml:space="preserve"> in all respects (other than Accrued Value) but, save where expressly set out herein to the contrary, shall constitute separate classes of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Subject to the further provisions of these Articles, the Ordinary Shares and the Series A Shares shall confer on each holder thereof (in that capacity) the right to receive notice of and to attend, speak and vote at all general meetings of the Company and to receive, vote on and constitute an eligible member for the purposes of proposed written resolutions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Subject to Article 14.3, each Ordinary Share and each Series A Share (for the avoidance of doubt, counted on an as-converted basis in accordance with Article 1.4(b)) shall carry a single vote and for all matters (other than where a class consent is specifically required by these Articles) the Shares shall vote as a single class.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Subject always to Applicable Law, Internal Revenue Service practice or a contrary determination (as defined in Section 1313(a) of the Internal Revenue Code, as amended (the “</w:t>
            </w:r>
            <w:r>
              <w:rPr>
                <w:b/>
              </w:rPr>
              <w:t>Code”</w:t>
            </w:r>
            <w:r>
              <w:rPr/>
              <w:t>)), each holder of Series A Shares and the Company shall not treat the Series A Shares (based on their terms as set forth in these Articles) as “preferred stock” within the meaning of Section 305 of the Code and Treasury Regulation Section 1.305-5 for United States federal income tax and withholding tax purposes and shall not take any position inconsistent with such treatment.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Subject to the provisions, if any, in the Memorandum (and to any direction that may be given by the Company in General Meeting), these Articles (including, without limitation, Article 40) and, where applicable, the rules and regulations of the Designated Stock Exchanges, the Commission and/or any other competent regulatory authority or otherwise under Applicable Law, and without prejudice to any rights attached to any existing Shares, the Directors have general and unconditional authority to allot (with or without confirming rights of renunciation), issue, grant options over or otherwise deal with any unissued Shares to such persons, at such times and on such terms and conditions as they may decide. No Share may be issued at a discount except in accordance with the provisions of the Act.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283"/>
              <w:jc w:val="both"/>
              <w:rPr/>
            </w:pPr>
            <w:r>
              <w:rPr/>
              <w:t>Without limitation to the preceding Article, but subject to Article 40, the Directors may so deal with the unissued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846"/>
        <w:gridCol w:w="9243"/>
      </w:tblGrid>
      <w:tr>
        <w:trPr/>
        <w:tc>
          <w:tcPr>
            <w:tcW w:w="1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pPr>
            <w:r>
              <w:rPr/>
              <w:t>(a)</w:t>
            </w:r>
          </w:p>
        </w:tc>
        <w:tc>
          <w:tcPr>
            <w:tcW w:w="9243" w:type="dxa"/>
            <w:tcBorders/>
            <w:vAlign w:val="center"/>
          </w:tcPr>
          <w:p>
            <w:pPr>
              <w:pStyle w:val="TableContents"/>
              <w:bidi w:val="0"/>
              <w:spacing w:before="0" w:after="283"/>
              <w:jc w:val="both"/>
              <w:rPr/>
            </w:pPr>
            <w:r>
              <w:rPr/>
              <w:t>either at a premium or at par;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with or without preferred, deferred or other special rights or restrictions, whether in regard to dividend, voting, return of capital or otherwise.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8" w:type="dxa"/>
            <w:tcBorders/>
            <w:vAlign w:val="center"/>
          </w:tcPr>
          <w:p>
            <w:pPr>
              <w:pStyle w:val="TableContents"/>
              <w:bidi w:val="0"/>
              <w:spacing w:before="0" w:after="283"/>
              <w:jc w:val="both"/>
              <w:rPr/>
            </w:pPr>
            <w:r>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Subject to Article 40, 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2.10</w:t>
            </w:r>
          </w:p>
        </w:tc>
        <w:tc>
          <w:tcPr>
            <w:tcW w:w="9728" w:type="dxa"/>
            <w:tcBorders/>
            <w:vAlign w:val="center"/>
          </w:tcPr>
          <w:p>
            <w:pPr>
              <w:pStyle w:val="TableContents"/>
              <w:bidi w:val="0"/>
              <w:spacing w:before="0" w:after="283"/>
              <w:jc w:val="both"/>
              <w:rPr/>
            </w:pPr>
            <w:r>
              <w:rPr/>
              <w:t>Subject to Article 40, 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The Company may, in so far as the Act permits, pay a commission to any person in consideration of that person: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4"/>
        <w:gridCol w:w="9780"/>
      </w:tblGrid>
      <w:tr>
        <w:trPr/>
        <w:tc>
          <w:tcPr>
            <w:tcW w:w="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(a)</w:t>
            </w:r>
          </w:p>
        </w:tc>
        <w:tc>
          <w:tcPr>
            <w:tcW w:w="9780" w:type="dxa"/>
            <w:tcBorders/>
            <w:vAlign w:val="center"/>
          </w:tcPr>
          <w:p>
            <w:pPr>
              <w:pStyle w:val="TableContents"/>
              <w:bidi w:val="0"/>
              <w:spacing w:before="0" w:after="283"/>
              <w:jc w:val="both"/>
              <w:rPr/>
            </w:pPr>
            <w:r>
              <w:rPr/>
              <w:t>subscribing or agreeing to subscribe, whether absolutely or conditionally;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76"/>
        <w:gridCol w:w="9780"/>
      </w:tblGrid>
      <w:tr>
        <w:trPr/>
        <w:tc>
          <w:tcPr>
            <w:tcW w:w="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(b)</w:t>
            </w:r>
          </w:p>
        </w:tc>
        <w:tc>
          <w:tcPr>
            <w:tcW w:w="9780" w:type="dxa"/>
            <w:tcBorders/>
            <w:vAlign w:val="center"/>
          </w:tcPr>
          <w:p>
            <w:pPr>
              <w:pStyle w:val="TableContents"/>
              <w:bidi w:val="0"/>
              <w:spacing w:before="0" w:after="283"/>
              <w:jc w:val="both"/>
              <w:rPr/>
            </w:pPr>
            <w:r>
              <w:rPr/>
              <w:t>procuring or agreeing to procure subscriptions, whether absolute or conditional,</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8" w:type="dxa"/>
            <w:tcBorders/>
            <w:vAlign w:val="center"/>
          </w:tcPr>
          <w:p>
            <w:pPr>
              <w:pStyle w:val="TableContents"/>
              <w:bidi w:val="0"/>
              <w:spacing w:before="0" w:after="283"/>
              <w:jc w:val="both"/>
              <w:rPr/>
            </w:pPr>
            <w:r>
              <w:rPr/>
              <w:t>The Company may employ a broker in the issue of its capital and pay him any proper commission or brokerage.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329"/>
        <w:gridCol w:w="8762"/>
      </w:tblGrid>
      <w:tr>
        <w:trPr/>
        <w:tc>
          <w:tcPr>
            <w:tcW w:w="1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pPr>
            <w:r>
              <w:rPr/>
              <w:t>2.13</w:t>
            </w:r>
          </w:p>
        </w:tc>
        <w:tc>
          <w:tcPr>
            <w:tcW w:w="8762" w:type="dxa"/>
            <w:tcBorders/>
            <w:vAlign w:val="center"/>
          </w:tcPr>
          <w:p>
            <w:pPr>
              <w:pStyle w:val="TableContents"/>
              <w:bidi w:val="0"/>
              <w:spacing w:before="0" w:after="283"/>
              <w:jc w:val="both"/>
              <w:rPr/>
            </w:pPr>
            <w:r>
              <w:rPr/>
              <w:t>Except as required by the Act: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2"/>
        <w:gridCol w:w="9828"/>
      </w:tblGrid>
      <w:tr>
        <w:trPr/>
        <w:tc>
          <w:tcPr>
            <w:tcW w:w="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(a)</w:t>
            </w:r>
          </w:p>
        </w:tc>
        <w:tc>
          <w:tcPr>
            <w:tcW w:w="9828" w:type="dxa"/>
            <w:tcBorders/>
            <w:vAlign w:val="center"/>
          </w:tcPr>
          <w:p>
            <w:pPr>
              <w:pStyle w:val="TableContents"/>
              <w:bidi w:val="0"/>
              <w:spacing w:before="0" w:after="283"/>
              <w:jc w:val="both"/>
              <w:rPr/>
            </w:pPr>
            <w:r>
              <w:rPr/>
              <w:t>no person shall be recognised by the Company as holding any Share on any trust;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98"/>
        <w:gridCol w:w="9868"/>
      </w:tblGrid>
      <w:tr>
        <w:trPr/>
        <w:tc>
          <w:tcPr>
            <w:tcW w:w="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283"/>
              <w:jc w:val="both"/>
              <w:rPr/>
            </w:pPr>
            <w:r>
              <w:rPr/>
              <w:t>no person other than the Member shall be recognised by the Company as having any right in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2.14</w:t>
            </w:r>
          </w:p>
        </w:tc>
        <w:tc>
          <w:tcPr>
            <w:tcW w:w="9728" w:type="dxa"/>
            <w:tcBorders/>
            <w:vAlign w:val="center"/>
          </w:tcPr>
          <w:p>
            <w:pPr>
              <w:pStyle w:val="TableContents"/>
              <w:bidi w:val="0"/>
              <w:spacing w:before="0" w:after="283"/>
              <w:jc w:val="both"/>
              <w:rPr/>
            </w:pPr>
            <w:r>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2.15</w:t>
            </w:r>
          </w:p>
        </w:tc>
        <w:tc>
          <w:tcPr>
            <w:tcW w:w="9728" w:type="dxa"/>
            <w:tcBorders/>
            <w:vAlign w:val="center"/>
          </w:tcPr>
          <w:p>
            <w:pPr>
              <w:pStyle w:val="TableContents"/>
              <w:bidi w:val="0"/>
              <w:spacing w:before="0" w:after="283"/>
              <w:jc w:val="both"/>
              <w:rPr/>
            </w:pPr>
            <w:r>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the Members holding not less than two-thirds of the issued Shares of that class consent in writing to the variation;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the variation is made with the sanction of a Special Resolution passed at a separate general meeting of the Members holding the issued Shares of that class.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2.16</w:t>
            </w:r>
          </w:p>
        </w:tc>
        <w:tc>
          <w:tcPr>
            <w:tcW w:w="9728" w:type="dxa"/>
            <w:tcBorders/>
            <w:vAlign w:val="center"/>
          </w:tcPr>
          <w:p>
            <w:pPr>
              <w:pStyle w:val="TableContents"/>
              <w:bidi w:val="0"/>
              <w:spacing w:before="0" w:after="283"/>
              <w:jc w:val="both"/>
              <w:rPr/>
            </w:pPr>
            <w:r>
              <w:rPr/>
              <w:t xml:space="preserve">For the purpose of Article 2.15(b), all the provisions of these Articles relating to general meetings apply, </w:t>
            </w:r>
            <w:r>
              <w:rPr>
                <w:i/>
              </w:rPr>
              <w:t>mutatis mutandis</w:t>
            </w:r>
            <w:r>
              <w:rPr/>
              <w:t>, to every such separate meeting except that: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necessary quorum shall be one or more persons holding, or representing by proxy, not less than one third of the issued Shares of the class;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any Member holding issued Shares of the class, present in person or by proxy or, in the case of a corporate Member, by its duly authorised representative, may demand a poll.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2.17</w:t>
            </w:r>
          </w:p>
        </w:tc>
        <w:tc>
          <w:tcPr>
            <w:tcW w:w="9728" w:type="dxa"/>
            <w:tcBorders/>
            <w:vAlign w:val="center"/>
          </w:tcPr>
          <w:p>
            <w:pPr>
              <w:pStyle w:val="TableContents"/>
              <w:bidi w:val="0"/>
              <w:spacing w:before="0" w:after="283"/>
              <w:jc w:val="both"/>
              <w:rPr/>
            </w:pPr>
            <w:r>
              <w:rPr/>
              <w:t xml:space="preserve">Unless the terms on which a class of Shares was issued state otherwise, the rights conferred on the Member holding Shares of any class shall not be deemed to be varied by the creation or issue of further Shares ranking </w:t>
            </w:r>
            <w:r>
              <w:rPr>
                <w:i/>
              </w:rPr>
              <w:t>pari passu</w:t>
            </w:r>
            <w:r>
              <w:rPr/>
              <w:t xml:space="preserve"> with the existing Shares of that class.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contributions without issue of further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2.18</w:t>
            </w:r>
          </w:p>
        </w:tc>
        <w:tc>
          <w:tcPr>
            <w:tcW w:w="9728" w:type="dxa"/>
            <w:tcBorders/>
            <w:vAlign w:val="center"/>
          </w:tcPr>
          <w:p>
            <w:pPr>
              <w:pStyle w:val="TableContents"/>
              <w:bidi w:val="0"/>
              <w:spacing w:before="0" w:after="283"/>
              <w:jc w:val="both"/>
              <w:rPr/>
            </w:pPr>
            <w:r>
              <w:rPr/>
              <w:t>With the consent of a Member, the Directors may accept a voluntary contribution to the capital of the Company from that Member without issuing Shares in consideration for that contribution. In that event, the contribution shall be dealt with in the following manner: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7"/>
        <w:gridCol w:w="9538"/>
      </w:tblGrid>
      <w:tr>
        <w:trPr/>
        <w:tc>
          <w:tcPr>
            <w:tcW w:w="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(a)</w:t>
            </w:r>
          </w:p>
        </w:tc>
        <w:tc>
          <w:tcPr>
            <w:tcW w:w="9538" w:type="dxa"/>
            <w:tcBorders/>
            <w:vAlign w:val="center"/>
          </w:tcPr>
          <w:p>
            <w:pPr>
              <w:pStyle w:val="TableContents"/>
              <w:bidi w:val="0"/>
              <w:spacing w:before="0" w:after="283"/>
              <w:jc w:val="both"/>
              <w:rPr/>
            </w:pPr>
            <w:r>
              <w:rPr/>
              <w:t>It shall be treated as if it were a share premium.</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58"/>
        <w:gridCol w:w="9348"/>
      </w:tblGrid>
      <w:tr>
        <w:trPr/>
        <w:tc>
          <w:tcPr>
            <w:tcW w:w="9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pPr>
            <w:r>
              <w:rPr/>
              <w:t>(b)</w:t>
            </w:r>
          </w:p>
        </w:tc>
        <w:tc>
          <w:tcPr>
            <w:tcW w:w="9348" w:type="dxa"/>
            <w:tcBorders/>
            <w:vAlign w:val="center"/>
          </w:tcPr>
          <w:p>
            <w:pPr>
              <w:pStyle w:val="TableContents"/>
              <w:bidi w:val="0"/>
              <w:spacing w:before="0" w:after="283"/>
              <w:jc w:val="both"/>
              <w:rPr/>
            </w:pPr>
            <w:r>
              <w:rPr/>
              <w:t>Unless the Member agrees otherwise:</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if the Member holds Shares in a single class of Shares, it shall be credited to the share premium account for that class of Shares;</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if the Member holds Shares of more than one class, it shall be credited rateably to the share premium accounts for those classes of Shares (in the proportion that the sum of the issue prices for each class of Shares that the Member holds bears to the total issue prices for all classes of Shares that the Member holds).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4"/>
        <w:gridCol w:w="9859"/>
      </w:tblGrid>
      <w:tr>
        <w:trPr/>
        <w:tc>
          <w:tcPr>
            <w:tcW w:w="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(c)</w:t>
            </w:r>
          </w:p>
        </w:tc>
        <w:tc>
          <w:tcPr>
            <w:tcW w:w="9859" w:type="dxa"/>
            <w:tcBorders/>
            <w:vAlign w:val="center"/>
          </w:tcPr>
          <w:p>
            <w:pPr>
              <w:pStyle w:val="TableContents"/>
              <w:bidi w:val="0"/>
              <w:spacing w:before="0" w:after="283"/>
              <w:jc w:val="both"/>
              <w:rPr/>
            </w:pPr>
            <w:r>
              <w:rPr/>
              <w:t>It shall be subject to the provisions of the Act and these Articles applicable to share premiums.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735"/>
        <w:gridCol w:w="9407"/>
      </w:tblGrid>
      <w:tr>
        <w:trPr/>
        <w:tc>
          <w:tcPr>
            <w:tcW w:w="6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pPr>
            <w:r>
              <w:rPr/>
              <w:t>2.19</w:t>
            </w:r>
          </w:p>
        </w:tc>
        <w:tc>
          <w:tcPr>
            <w:tcW w:w="9407" w:type="dxa"/>
            <w:tcBorders/>
            <w:vAlign w:val="center"/>
          </w:tcPr>
          <w:p>
            <w:pPr>
              <w:pStyle w:val="TableContents"/>
              <w:bidi w:val="0"/>
              <w:spacing w:before="0" w:after="283"/>
              <w:jc w:val="both"/>
              <w:rPr/>
            </w:pPr>
            <w:r>
              <w:rPr/>
              <w:t>The Company shall not issue Shares or warrants to bearers.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2.20</w:t>
            </w:r>
          </w:p>
        </w:tc>
        <w:tc>
          <w:tcPr>
            <w:tcW w:w="9728" w:type="dxa"/>
            <w:tcBorders/>
            <w:vAlign w:val="center"/>
          </w:tcPr>
          <w:p>
            <w:pPr>
              <w:pStyle w:val="TableContents"/>
              <w:bidi w:val="0"/>
              <w:spacing w:before="0" w:after="283"/>
              <w:jc w:val="both"/>
              <w:rPr/>
            </w:pPr>
            <w:r>
              <w:rPr/>
              <w:t>Shares that the Company purchases, redeems or acquires by way of surrender in accordance with the Act shall be held as Treasury Shares and not treated as cancelled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7"/>
        <w:gridCol w:w="9856"/>
      </w:tblGrid>
      <w:tr>
        <w:trPr/>
        <w:tc>
          <w:tcPr>
            <w:tcW w:w="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(a)</w:t>
            </w:r>
          </w:p>
        </w:tc>
        <w:tc>
          <w:tcPr>
            <w:tcW w:w="9856" w:type="dxa"/>
            <w:tcBorders/>
            <w:vAlign w:val="center"/>
          </w:tcPr>
          <w:p>
            <w:pPr>
              <w:pStyle w:val="TableContents"/>
              <w:bidi w:val="0"/>
              <w:spacing w:before="0" w:after="283"/>
              <w:jc w:val="both"/>
              <w:rPr/>
            </w:pPr>
            <w:r>
              <w:rPr/>
              <w:t>the Directors so determine prior to the purchase, redemption or surrender of those shares;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7"/>
        <w:gridCol w:w="9858"/>
      </w:tblGrid>
      <w:tr>
        <w:trPr/>
        <w:tc>
          <w:tcPr>
            <w:tcW w:w="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(b)</w:t>
            </w:r>
          </w:p>
        </w:tc>
        <w:tc>
          <w:tcPr>
            <w:tcW w:w="9858" w:type="dxa"/>
            <w:tcBorders/>
            <w:vAlign w:val="center"/>
          </w:tcPr>
          <w:p>
            <w:pPr>
              <w:pStyle w:val="TableContents"/>
              <w:bidi w:val="0"/>
              <w:spacing w:before="0" w:after="283"/>
              <w:jc w:val="both"/>
              <w:rPr/>
            </w:pPr>
            <w:r>
              <w:rPr/>
              <w:t>the relevant provisions of the Memorandum and Articles and the Act are otherwise complied 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2.21</w:t>
            </w:r>
          </w:p>
        </w:tc>
        <w:tc>
          <w:tcPr>
            <w:tcW w:w="9728" w:type="dxa"/>
            <w:tcBorders/>
            <w:vAlign w:val="center"/>
          </w:tcPr>
          <w:p>
            <w:pPr>
              <w:pStyle w:val="TableContents"/>
              <w:bidi w:val="0"/>
              <w:spacing w:before="0" w:after="283"/>
              <w:jc w:val="both"/>
              <w:rPr/>
            </w:pPr>
            <w:r>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2.22</w:t>
            </w:r>
          </w:p>
        </w:tc>
        <w:tc>
          <w:tcPr>
            <w:tcW w:w="9728" w:type="dxa"/>
            <w:tcBorders/>
            <w:vAlign w:val="center"/>
          </w:tcPr>
          <w:p>
            <w:pPr>
              <w:pStyle w:val="TableContents"/>
              <w:bidi w:val="0"/>
              <w:spacing w:before="0" w:after="283"/>
              <w:jc w:val="both"/>
              <w:rPr/>
            </w:pPr>
            <w:r>
              <w:rPr/>
              <w:t>The Company shall be entered in the register of Members as the holder of the Treasury Shares. However: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2.23</w:t>
            </w:r>
          </w:p>
        </w:tc>
        <w:tc>
          <w:tcPr>
            <w:tcW w:w="9728" w:type="dxa"/>
            <w:tcBorders/>
            <w:vAlign w:val="center"/>
          </w:tcPr>
          <w:p>
            <w:pPr>
              <w:pStyle w:val="TableContents"/>
              <w:bidi w:val="0"/>
              <w:spacing w:before="0" w:after="283"/>
              <w:jc w:val="both"/>
              <w:rPr/>
            </w:pPr>
            <w:r>
              <w:rPr/>
              <w:t>Nothing in Article 2.22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2.24</w:t>
            </w:r>
          </w:p>
        </w:tc>
        <w:tc>
          <w:tcPr>
            <w:tcW w:w="9728" w:type="dxa"/>
            <w:tcBorders/>
            <w:vAlign w:val="center"/>
          </w:tcPr>
          <w:p>
            <w:pPr>
              <w:pStyle w:val="TableContents"/>
              <w:bidi w:val="0"/>
              <w:spacing w:before="0" w:after="283"/>
              <w:jc w:val="both"/>
              <w:rPr/>
            </w:pPr>
            <w:r>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2.25</w:t>
            </w:r>
          </w:p>
        </w:tc>
        <w:tc>
          <w:tcPr>
            <w:tcW w:w="9728" w:type="dxa"/>
            <w:tcBorders/>
            <w:vAlign w:val="center"/>
          </w:tcPr>
          <w:p>
            <w:pPr>
              <w:pStyle w:val="TableContents"/>
              <w:bidi w:val="0"/>
              <w:spacing w:before="0" w:after="283"/>
              <w:jc w:val="both"/>
              <w:rPr/>
            </w:pPr>
            <w:r>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2.26</w:t>
            </w:r>
          </w:p>
        </w:tc>
        <w:tc>
          <w:tcPr>
            <w:tcW w:w="9728" w:type="dxa"/>
            <w:tcBorders/>
            <w:vAlign w:val="center"/>
          </w:tcPr>
          <w:p>
            <w:pPr>
              <w:pStyle w:val="TableContents"/>
              <w:bidi w:val="0"/>
              <w:spacing w:before="0" w:after="283"/>
              <w:jc w:val="both"/>
              <w:rPr/>
            </w:pPr>
            <w:r>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Article 40B of the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2.27</w:t>
            </w:r>
          </w:p>
        </w:tc>
        <w:tc>
          <w:tcPr>
            <w:tcW w:w="9728" w:type="dxa"/>
            <w:tcBorders/>
            <w:vAlign w:val="center"/>
          </w:tcPr>
          <w:p>
            <w:pPr>
              <w:pStyle w:val="TableContents"/>
              <w:bidi w:val="0"/>
              <w:spacing w:before="0" w:after="283"/>
              <w:jc w:val="both"/>
              <w:rPr/>
            </w:pPr>
            <w:r>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785"/>
        <w:gridCol w:w="9207"/>
      </w:tblGrid>
      <w:tr>
        <w:trPr/>
        <w:tc>
          <w:tcPr>
            <w:tcW w:w="21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3</w:t>
            </w:r>
          </w:p>
        </w:tc>
        <w:tc>
          <w:tcPr>
            <w:tcW w:w="9207" w:type="dxa"/>
            <w:tcBorders/>
            <w:vAlign w:val="center"/>
          </w:tcPr>
          <w:p>
            <w:pPr>
              <w:pStyle w:val="TableContents"/>
              <w:bidi w:val="0"/>
              <w:spacing w:before="0" w:after="283"/>
              <w:jc w:val="both"/>
              <w:rPr/>
            </w:pPr>
            <w:r>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upon payment of such reasonable sum as the Directors may determine for every certificate after the first, several certificates each for one or more of that Member’s Shares.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Every certificate shall bear legends required under the Applicable Laws, including the U.S. Securities Act (to the extent applicable).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If a share certificate is defaced, worn-out, lost or destroyed, it may be renewed on such terms (if any) as to:</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2249"/>
        <w:gridCol w:w="7646"/>
      </w:tblGrid>
      <w:tr>
        <w:trPr/>
        <w:tc>
          <w:tcPr>
            <w:tcW w:w="31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pPr>
            <w:r>
              <w:rPr/>
              <w:t>(a)</w:t>
            </w:r>
          </w:p>
        </w:tc>
        <w:tc>
          <w:tcPr>
            <w:tcW w:w="7646" w:type="dxa"/>
            <w:tcBorders/>
            <w:vAlign w:val="center"/>
          </w:tcPr>
          <w:p>
            <w:pPr>
              <w:pStyle w:val="TableContents"/>
              <w:bidi w:val="0"/>
              <w:spacing w:before="0" w:after="283"/>
              <w:jc w:val="both"/>
              <w:rPr/>
            </w:pPr>
            <w:r>
              <w:rPr/>
              <w:t>evidence;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2163"/>
        <w:gridCol w:w="7759"/>
      </w:tblGrid>
      <w:tr>
        <w:trPr/>
        <w:tc>
          <w:tcPr>
            <w:tcW w:w="28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pPr>
            <w:r>
              <w:rPr/>
              <w:t>(b)</w:t>
            </w:r>
          </w:p>
        </w:tc>
        <w:tc>
          <w:tcPr>
            <w:tcW w:w="7759" w:type="dxa"/>
            <w:tcBorders/>
            <w:vAlign w:val="center"/>
          </w:tcPr>
          <w:p>
            <w:pPr>
              <w:pStyle w:val="TableContents"/>
              <w:bidi w:val="0"/>
              <w:spacing w:before="0" w:after="283"/>
              <w:jc w:val="both"/>
              <w:rPr/>
            </w:pPr>
            <w:r>
              <w:rPr/>
              <w:t>indemnity;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8"/>
        <w:gridCol w:w="9867"/>
      </w:tblGrid>
      <w:tr>
        <w:trPr/>
        <w:tc>
          <w:tcPr>
            <w:tcW w:w="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(c)</w:t>
            </w:r>
          </w:p>
        </w:tc>
        <w:tc>
          <w:tcPr>
            <w:tcW w:w="9867" w:type="dxa"/>
            <w:tcBorders/>
            <w:vAlign w:val="center"/>
          </w:tcPr>
          <w:p>
            <w:pPr>
              <w:pStyle w:val="TableContents"/>
              <w:bidi w:val="0"/>
              <w:spacing w:before="0" w:after="283"/>
              <w:jc w:val="both"/>
              <w:rPr/>
            </w:pPr>
            <w:r>
              <w:rPr/>
              <w:t>payment of the expenses reasonably incurred by the Company in investigating the evidence;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6"/>
        <w:gridCol w:w="9769"/>
      </w:tblGrid>
      <w:tr>
        <w:trPr/>
        <w:tc>
          <w:tcPr>
            <w:tcW w:w="5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(d)</w:t>
            </w:r>
          </w:p>
        </w:tc>
        <w:tc>
          <w:tcPr>
            <w:tcW w:w="9769" w:type="dxa"/>
            <w:tcBorders/>
            <w:vAlign w:val="center"/>
          </w:tcPr>
          <w:p>
            <w:pPr>
              <w:pStyle w:val="TableContents"/>
              <w:bidi w:val="0"/>
              <w:spacing w:before="0" w:after="283"/>
              <w:jc w:val="both"/>
              <w:rPr/>
            </w:pPr>
            <w:r>
              <w:rPr/>
              <w:t>payment of a reasonable fee, if any for issuing a replacement share certificate,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872"/>
        <w:gridCol w:w="9097"/>
      </w:tblGrid>
      <w:tr>
        <w:trPr/>
        <w:tc>
          <w:tcPr>
            <w:tcW w:w="23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pPr>
            <w:r>
              <w:rPr/>
              <w:t>4</w:t>
            </w:r>
          </w:p>
        </w:tc>
        <w:tc>
          <w:tcPr>
            <w:tcW w:w="9097" w:type="dxa"/>
            <w:tcBorders/>
            <w:vAlign w:val="center"/>
          </w:tcPr>
          <w:p>
            <w:pPr>
              <w:pStyle w:val="TableContents"/>
              <w:bidi w:val="0"/>
              <w:spacing w:before="0" w:after="283"/>
              <w:jc w:val="both"/>
              <w:rPr/>
            </w:pPr>
            <w:r>
              <w:rPr/>
              <w:t>Lien on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2"/>
        <w:gridCol w:w="9862"/>
      </w:tblGrid>
      <w:tr>
        <w:trPr/>
        <w:tc>
          <w:tcPr>
            <w:tcW w:w="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both"/>
              <w:rPr/>
            </w:pPr>
            <w:r>
              <w:rPr/>
              <w:t>either alone or jointly with any other person, whether or not that other person is a Member;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74"/>
        <w:gridCol w:w="9556"/>
      </w:tblGrid>
      <w:tr>
        <w:trPr/>
        <w:tc>
          <w:tcPr>
            <w:tcW w:w="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pPr>
            <w:r>
              <w:rPr/>
              <w:t>(b)</w:t>
            </w:r>
          </w:p>
        </w:tc>
        <w:tc>
          <w:tcPr>
            <w:tcW w:w="9556" w:type="dxa"/>
            <w:tcBorders/>
            <w:vAlign w:val="center"/>
          </w:tcPr>
          <w:p>
            <w:pPr>
              <w:pStyle w:val="TableContents"/>
              <w:bidi w:val="0"/>
              <w:spacing w:before="0" w:after="283"/>
              <w:jc w:val="both"/>
              <w:rPr/>
            </w:pPr>
            <w:r>
              <w:rPr/>
              <w:t>whether or not those monies are presently payable.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At any time the Board may declare any Share to be wholly or partly exempt from the provisions of this Article.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2"/>
        <w:gridCol w:w="9834"/>
      </w:tblGrid>
      <w:tr>
        <w:trPr/>
        <w:tc>
          <w:tcPr>
            <w:tcW w:w="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4.3</w:t>
            </w:r>
          </w:p>
        </w:tc>
        <w:tc>
          <w:tcPr>
            <w:tcW w:w="9834" w:type="dxa"/>
            <w:tcBorders/>
            <w:vAlign w:val="center"/>
          </w:tcPr>
          <w:p>
            <w:pPr>
              <w:pStyle w:val="TableContents"/>
              <w:bidi w:val="0"/>
              <w:spacing w:before="0" w:after="283"/>
              <w:jc w:val="both"/>
              <w:rPr/>
            </w:pPr>
            <w:r>
              <w:rPr/>
              <w:t>The Company may sell any Shares over which it has a lien if all of the following conditions are met: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49"/>
        <w:gridCol w:w="9695"/>
      </w:tblGrid>
      <w:tr>
        <w:trPr/>
        <w:tc>
          <w:tcPr>
            <w:tcW w:w="6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(a)</w:t>
            </w:r>
          </w:p>
        </w:tc>
        <w:tc>
          <w:tcPr>
            <w:tcW w:w="9695" w:type="dxa"/>
            <w:tcBorders/>
            <w:vAlign w:val="center"/>
          </w:tcPr>
          <w:p>
            <w:pPr>
              <w:pStyle w:val="TableContents"/>
              <w:bidi w:val="0"/>
              <w:spacing w:before="0" w:after="283"/>
              <w:jc w:val="both"/>
              <w:rPr/>
            </w:pPr>
            <w:r>
              <w:rPr/>
              <w:t>the sum in respect of which the lien exists is presently payable;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(c)</w:t>
            </w:r>
          </w:p>
        </w:tc>
        <w:tc>
          <w:tcPr>
            <w:tcW w:w="9895" w:type="dxa"/>
            <w:tcBorders/>
            <w:vAlign w:val="center"/>
          </w:tcPr>
          <w:p>
            <w:pPr>
              <w:pStyle w:val="TableContents"/>
              <w:bidi w:val="0"/>
              <w:spacing w:before="0" w:after="283"/>
              <w:jc w:val="both"/>
              <w:rPr/>
            </w:pPr>
            <w:r>
              <w:rPr/>
              <w:t>that sum is not paid within fourteen Clear Days after that notice is deemed to be given under these Articles,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Shares to which this Article 4.3 applies shall be referred to as </w:t>
      </w:r>
      <w:r>
        <w:rPr>
          <w:rFonts w:ascii="Times New Roman;Times;Serif" w:hAnsi="Times New Roman;Times;Serif"/>
          <w:b/>
          <w:i w:val="false"/>
          <w:caps w:val="false"/>
          <w:smallCaps w:val="false"/>
          <w:sz w:val="20"/>
        </w:rPr>
        <w:t>Lien Default Shares</w:t>
      </w:r>
      <w:r>
        <w:rPr>
          <w:rFonts w:ascii="Times New Roman;Times;Serif" w:hAnsi="Times New Roman;Times;Serif"/>
          <w:b w:val="false"/>
          <w:i w:val="false"/>
          <w:caps w:val="false"/>
          <w:smallCaps w:val="false"/>
          <w:sz w:val="20"/>
        </w:rPr>
        <w: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19"/>
        <w:gridCol w:w="9737"/>
      </w:tblGrid>
      <w:tr>
        <w:trPr/>
        <w:tc>
          <w:tcPr>
            <w:tcW w:w="4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4.4</w:t>
            </w:r>
          </w:p>
        </w:tc>
        <w:tc>
          <w:tcPr>
            <w:tcW w:w="9737" w:type="dxa"/>
            <w:tcBorders/>
            <w:vAlign w:val="center"/>
          </w:tcPr>
          <w:p>
            <w:pPr>
              <w:pStyle w:val="TableContents"/>
              <w:bidi w:val="0"/>
              <w:spacing w:before="0" w:after="283"/>
              <w:jc w:val="both"/>
              <w:rPr/>
            </w:pPr>
            <w:r>
              <w:rPr/>
              <w:t>The Lien Default Shares may be sold in such manner as the Board determines.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To the maximum extent permitted by law, the Directors shall incur no personal liability to the Member concerned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4.7</w:t>
            </w:r>
          </w:p>
        </w:tc>
        <w:tc>
          <w:tcPr>
            <w:tcW w:w="9848" w:type="dxa"/>
            <w:tcBorders/>
            <w:vAlign w:val="center"/>
          </w:tcPr>
          <w:p>
            <w:pPr>
              <w:pStyle w:val="TableContents"/>
              <w:bidi w:val="0"/>
              <w:spacing w:before="0" w:after="283"/>
              <w:jc w:val="both"/>
              <w:rPr/>
            </w:pPr>
            <w:r>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3"/>
        <w:gridCol w:w="9408"/>
      </w:tblGrid>
      <w:tr>
        <w:trPr/>
        <w:tc>
          <w:tcPr>
            <w:tcW w:w="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4.8</w:t>
            </w:r>
          </w:p>
        </w:tc>
        <w:tc>
          <w:tcPr>
            <w:tcW w:w="9408" w:type="dxa"/>
            <w:tcBorders/>
            <w:vAlign w:val="center"/>
          </w:tcPr>
          <w:p>
            <w:pPr>
              <w:pStyle w:val="TableContents"/>
              <w:bidi w:val="0"/>
              <w:spacing w:before="0" w:after="283"/>
              <w:jc w:val="both"/>
              <w:rPr/>
            </w:pPr>
            <w:r>
              <w:rPr/>
              <w:t>On a sale pursuant to the preceding Articles: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the name of the Member concerned shall be removed from the register of Members as the holder of those Lien Default Shares;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that person shall deliver to the Company for cancellation the certificate (if any) for those Lien Default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4.9</w:t>
            </w:r>
          </w:p>
        </w:tc>
        <w:tc>
          <w:tcPr>
            <w:tcW w:w="9848" w:type="dxa"/>
            <w:tcBorders/>
            <w:vAlign w:val="center"/>
          </w:tcPr>
          <w:p>
            <w:pPr>
              <w:pStyle w:val="TableContents"/>
              <w:bidi w:val="0"/>
              <w:spacing w:before="0" w:after="283"/>
              <w:jc w:val="both"/>
              <w:rPr/>
            </w:pPr>
            <w:r>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4.10</w:t>
            </w:r>
          </w:p>
        </w:tc>
        <w:tc>
          <w:tcPr>
            <w:tcW w:w="9728" w:type="dxa"/>
            <w:tcBorders/>
            <w:vAlign w:val="center"/>
          </w:tcPr>
          <w:p>
            <w:pPr>
              <w:pStyle w:val="TableContents"/>
              <w:bidi w:val="0"/>
              <w:spacing w:before="0" w:after="283"/>
              <w:jc w:val="both"/>
              <w:rPr/>
            </w:pPr>
            <w:r>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56"/>
        <w:gridCol w:w="9800"/>
      </w:tblGrid>
      <w:tr>
        <w:trPr/>
        <w:tc>
          <w:tcPr>
            <w:tcW w:w="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(a)</w:t>
            </w:r>
          </w:p>
        </w:tc>
        <w:tc>
          <w:tcPr>
            <w:tcW w:w="9800" w:type="dxa"/>
            <w:tcBorders/>
            <w:vAlign w:val="center"/>
          </w:tcPr>
          <w:p>
            <w:pPr>
              <w:pStyle w:val="TableContents"/>
              <w:bidi w:val="0"/>
              <w:spacing w:before="0" w:after="283"/>
              <w:jc w:val="both"/>
              <w:rPr/>
            </w:pPr>
            <w:r>
              <w:rPr/>
              <w:t>if no certificate for the Lien Default Shares was issued, at the date of the sale;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if a certificate for the Lien Default Shares was issued, upon surrender to the Company of that certificate for cancellation</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473"/>
        <w:gridCol w:w="9604"/>
      </w:tblGrid>
      <w:tr>
        <w:trPr/>
        <w:tc>
          <w:tcPr>
            <w:tcW w:w="1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pPr>
            <w:r>
              <w:rPr/>
              <w:t>5</w:t>
            </w:r>
          </w:p>
        </w:tc>
        <w:tc>
          <w:tcPr>
            <w:tcW w:w="9604" w:type="dxa"/>
            <w:tcBorders/>
            <w:vAlign w:val="center"/>
          </w:tcPr>
          <w:p>
            <w:pPr>
              <w:pStyle w:val="TableContents"/>
              <w:bidi w:val="0"/>
              <w:spacing w:before="0" w:after="283"/>
              <w:jc w:val="both"/>
              <w:rPr/>
            </w:pPr>
            <w:r>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A call shall be deemed to have been made at the time when the resolution of the Directors authorising the call was passed.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5.5</w:t>
            </w:r>
          </w:p>
        </w:tc>
        <w:tc>
          <w:tcPr>
            <w:tcW w:w="9848" w:type="dxa"/>
            <w:tcBorders/>
            <w:vAlign w:val="center"/>
          </w:tcPr>
          <w:p>
            <w:pPr>
              <w:pStyle w:val="TableContents"/>
              <w:bidi w:val="0"/>
              <w:spacing w:before="0" w:after="283"/>
              <w:jc w:val="both"/>
              <w:rPr/>
            </w:pPr>
            <w:r>
              <w:rPr/>
              <w:t>Members registered as the joint holders of a Share shall be jointly and severally liable to pay all calls in respect of the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5.6</w:t>
            </w:r>
          </w:p>
        </w:tc>
        <w:tc>
          <w:tcPr>
            <w:tcW w:w="9848" w:type="dxa"/>
            <w:tcBorders/>
            <w:vAlign w:val="center"/>
          </w:tcPr>
          <w:p>
            <w:pPr>
              <w:pStyle w:val="TableContents"/>
              <w:bidi w:val="0"/>
              <w:spacing w:before="0" w:after="283"/>
              <w:jc w:val="both"/>
              <w:rPr/>
            </w:pPr>
            <w:r>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3"/>
        <w:gridCol w:w="9815"/>
      </w:tblGrid>
      <w:tr>
        <w:trPr/>
        <w:tc>
          <w:tcPr>
            <w:tcW w:w="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(a)</w:t>
            </w:r>
          </w:p>
        </w:tc>
        <w:tc>
          <w:tcPr>
            <w:tcW w:w="9815" w:type="dxa"/>
            <w:tcBorders/>
            <w:vAlign w:val="center"/>
          </w:tcPr>
          <w:p>
            <w:pPr>
              <w:pStyle w:val="TableContents"/>
              <w:bidi w:val="0"/>
              <w:spacing w:before="0" w:after="283"/>
              <w:jc w:val="both"/>
              <w:rPr/>
            </w:pPr>
            <w:r>
              <w:rPr/>
              <w:t>at the rate fixed by the terms of allotment of the Share or in the notice of the call;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58"/>
        <w:gridCol w:w="9348"/>
      </w:tblGrid>
      <w:tr>
        <w:trPr/>
        <w:tc>
          <w:tcPr>
            <w:tcW w:w="9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pPr>
            <w:r>
              <w:rPr/>
              <w:t>(b)</w:t>
            </w:r>
          </w:p>
        </w:tc>
        <w:tc>
          <w:tcPr>
            <w:tcW w:w="9348" w:type="dxa"/>
            <w:tcBorders/>
            <w:vAlign w:val="center"/>
          </w:tcPr>
          <w:p>
            <w:pPr>
              <w:pStyle w:val="TableContents"/>
              <w:bidi w:val="0"/>
              <w:spacing w:before="0" w:after="283"/>
              <w:jc w:val="both"/>
              <w:rPr/>
            </w:pPr>
            <w:r>
              <w:rPr/>
              <w:t>if no rate is fixed, at the Default Rate.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5.7</w:t>
            </w:r>
          </w:p>
        </w:tc>
        <w:tc>
          <w:tcPr>
            <w:tcW w:w="9848" w:type="dxa"/>
            <w:tcBorders/>
            <w:vAlign w:val="center"/>
          </w:tcPr>
          <w:p>
            <w:pPr>
              <w:pStyle w:val="TableContents"/>
              <w:bidi w:val="0"/>
              <w:spacing w:before="0" w:after="283"/>
              <w:jc w:val="both"/>
              <w:rPr/>
            </w:pPr>
            <w:r>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5.8</w:t>
            </w:r>
          </w:p>
        </w:tc>
        <w:tc>
          <w:tcPr>
            <w:tcW w:w="9848" w:type="dxa"/>
            <w:tcBorders/>
            <w:vAlign w:val="center"/>
          </w:tcPr>
          <w:p>
            <w:pPr>
              <w:pStyle w:val="TableContents"/>
              <w:bidi w:val="0"/>
              <w:spacing w:before="0" w:after="283"/>
              <w:jc w:val="both"/>
              <w:rPr/>
            </w:pPr>
            <w:r>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5.9</w:t>
            </w:r>
          </w:p>
        </w:tc>
        <w:tc>
          <w:tcPr>
            <w:tcW w:w="9848" w:type="dxa"/>
            <w:tcBorders/>
            <w:vAlign w:val="center"/>
          </w:tcPr>
          <w:p>
            <w:pPr>
              <w:pStyle w:val="TableContents"/>
              <w:bidi w:val="0"/>
              <w:spacing w:before="0" w:after="283"/>
              <w:jc w:val="both"/>
              <w:rPr/>
            </w:pPr>
            <w:r>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5.10</w:t>
            </w:r>
          </w:p>
        </w:tc>
        <w:tc>
          <w:tcPr>
            <w:tcW w:w="9728" w:type="dxa"/>
            <w:tcBorders/>
            <w:vAlign w:val="center"/>
          </w:tcPr>
          <w:p>
            <w:pPr>
              <w:pStyle w:val="TableContents"/>
              <w:bidi w:val="0"/>
              <w:spacing w:before="0" w:after="283"/>
              <w:jc w:val="both"/>
              <w:rPr/>
            </w:pPr>
            <w:r>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297"/>
        <w:gridCol w:w="8729"/>
      </w:tblGrid>
      <w:tr>
        <w:trPr/>
        <w:tc>
          <w:tcPr>
            <w:tcW w:w="1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pPr>
            <w:r>
              <w:rPr/>
              <w:t>(a)</w:t>
            </w:r>
          </w:p>
        </w:tc>
        <w:tc>
          <w:tcPr>
            <w:tcW w:w="8729" w:type="dxa"/>
            <w:tcBorders/>
            <w:vAlign w:val="center"/>
          </w:tcPr>
          <w:p>
            <w:pPr>
              <w:pStyle w:val="TableContents"/>
              <w:bidi w:val="0"/>
              <w:spacing w:before="0" w:after="283"/>
              <w:jc w:val="both"/>
              <w:rPr/>
            </w:pPr>
            <w:r>
              <w:rPr/>
              <w:t>the amount unpaid;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85"/>
        <w:gridCol w:w="9431"/>
      </w:tblGrid>
      <w:tr>
        <w:trPr/>
        <w:tc>
          <w:tcPr>
            <w:tcW w:w="8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(b)</w:t>
            </w:r>
          </w:p>
        </w:tc>
        <w:tc>
          <w:tcPr>
            <w:tcW w:w="9431" w:type="dxa"/>
            <w:tcBorders/>
            <w:vAlign w:val="center"/>
          </w:tcPr>
          <w:p>
            <w:pPr>
              <w:pStyle w:val="TableContents"/>
              <w:bidi w:val="0"/>
              <w:spacing w:before="0" w:after="283"/>
              <w:jc w:val="both"/>
              <w:rPr/>
            </w:pPr>
            <w:r>
              <w:rPr/>
              <w:t>any interest which may have accrued;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4"/>
        <w:gridCol w:w="9826"/>
      </w:tblGrid>
      <w:tr>
        <w:trPr/>
        <w:tc>
          <w:tcPr>
            <w:tcW w:w="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(c)</w:t>
            </w:r>
          </w:p>
        </w:tc>
        <w:tc>
          <w:tcPr>
            <w:tcW w:w="9826" w:type="dxa"/>
            <w:tcBorders/>
            <w:vAlign w:val="center"/>
          </w:tcPr>
          <w:p>
            <w:pPr>
              <w:pStyle w:val="TableContents"/>
              <w:bidi w:val="0"/>
              <w:spacing w:before="0" w:after="283"/>
              <w:jc w:val="both"/>
              <w:rPr/>
            </w:pPr>
            <w:r>
              <w:rPr/>
              <w:t>any expenses which have been incurred by the Company due to that person’s default.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160"/>
        <w:gridCol w:w="8946"/>
      </w:tblGrid>
      <w:tr>
        <w:trPr/>
        <w:tc>
          <w:tcPr>
            <w:tcW w:w="9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5.11</w:t>
            </w:r>
          </w:p>
        </w:tc>
        <w:tc>
          <w:tcPr>
            <w:tcW w:w="8946" w:type="dxa"/>
            <w:tcBorders/>
            <w:vAlign w:val="center"/>
          </w:tcPr>
          <w:p>
            <w:pPr>
              <w:pStyle w:val="TableContents"/>
              <w:bidi w:val="0"/>
              <w:spacing w:before="0" w:after="283"/>
              <w:jc w:val="both"/>
              <w:rPr/>
            </w:pPr>
            <w:r>
              <w:rPr/>
              <w:t>The notice shall state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27"/>
        <w:gridCol w:w="9492"/>
      </w:tblGrid>
      <w:tr>
        <w:trPr/>
        <w:tc>
          <w:tcPr>
            <w:tcW w:w="8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(a)</w:t>
            </w:r>
          </w:p>
        </w:tc>
        <w:tc>
          <w:tcPr>
            <w:tcW w:w="9492" w:type="dxa"/>
            <w:tcBorders/>
            <w:vAlign w:val="center"/>
          </w:tcPr>
          <w:p>
            <w:pPr>
              <w:pStyle w:val="TableContents"/>
              <w:bidi w:val="0"/>
              <w:spacing w:before="0" w:after="283"/>
              <w:jc w:val="both"/>
              <w:rPr/>
            </w:pPr>
            <w:r>
              <w:rPr/>
              <w:t>the place where payment is to be made;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a warning that if the notice is not complied with the Shares in respect of which the call is made will be liable to be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5.12</w:t>
            </w:r>
          </w:p>
        </w:tc>
        <w:tc>
          <w:tcPr>
            <w:tcW w:w="9728" w:type="dxa"/>
            <w:tcBorders/>
            <w:vAlign w:val="center"/>
          </w:tcPr>
          <w:p>
            <w:pPr>
              <w:pStyle w:val="TableContents"/>
              <w:bidi w:val="0"/>
              <w:spacing w:before="0" w:after="283"/>
              <w:jc w:val="both"/>
              <w:rPr/>
            </w:pPr>
            <w:r>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08"/>
        <w:gridCol w:w="9654"/>
      </w:tblGrid>
      <w:tr>
        <w:trPr/>
        <w:tc>
          <w:tcPr>
            <w:tcW w:w="4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5.13</w:t>
            </w:r>
          </w:p>
        </w:tc>
        <w:tc>
          <w:tcPr>
            <w:tcW w:w="9654" w:type="dxa"/>
            <w:tcBorders/>
            <w:vAlign w:val="center"/>
          </w:tcPr>
          <w:p>
            <w:pPr>
              <w:pStyle w:val="TableContents"/>
              <w:bidi w:val="0"/>
              <w:spacing w:before="0" w:after="283"/>
              <w:jc w:val="both"/>
              <w:rPr/>
            </w:pPr>
            <w:r>
              <w:rPr/>
              <w:t>The directors may accept the surrender for no consideration of any Fully Paid Up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5.14</w:t>
            </w:r>
          </w:p>
        </w:tc>
        <w:tc>
          <w:tcPr>
            <w:tcW w:w="9728" w:type="dxa"/>
            <w:tcBorders/>
            <w:vAlign w:val="center"/>
          </w:tcPr>
          <w:p>
            <w:pPr>
              <w:pStyle w:val="TableContents"/>
              <w:bidi w:val="0"/>
              <w:spacing w:before="0" w:after="283"/>
              <w:jc w:val="both"/>
              <w:rPr/>
            </w:pPr>
            <w:r>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495"/>
        <w:gridCol w:w="8581"/>
      </w:tblGrid>
      <w:tr>
        <w:trPr/>
        <w:tc>
          <w:tcPr>
            <w:tcW w:w="12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pPr>
            <w:r>
              <w:rPr/>
              <w:t>5.15</w:t>
            </w:r>
          </w:p>
        </w:tc>
        <w:tc>
          <w:tcPr>
            <w:tcW w:w="8581" w:type="dxa"/>
            <w:tcBorders/>
            <w:vAlign w:val="center"/>
          </w:tcPr>
          <w:p>
            <w:pPr>
              <w:pStyle w:val="TableContents"/>
              <w:bidi w:val="0"/>
              <w:spacing w:before="0" w:after="283"/>
              <w:jc w:val="both"/>
              <w:rPr/>
            </w:pPr>
            <w:r>
              <w:rPr/>
              <w:t>On forfeiture or surrender: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283"/>
              <w:jc w:val="both"/>
              <w:rPr/>
            </w:pPr>
            <w:r>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that person shall surrender to the Company for cancellation the certificate (if any) for the forfeited or surrendered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5.16</w:t>
            </w:r>
          </w:p>
        </w:tc>
        <w:tc>
          <w:tcPr>
            <w:tcW w:w="9728" w:type="dxa"/>
            <w:tcBorders/>
            <w:vAlign w:val="center"/>
          </w:tcPr>
          <w:p>
            <w:pPr>
              <w:pStyle w:val="TableContents"/>
              <w:bidi w:val="0"/>
              <w:spacing w:before="0" w:after="283"/>
              <w:jc w:val="both"/>
              <w:rPr/>
            </w:pPr>
            <w:r>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437"/>
        <w:gridCol w:w="8570"/>
      </w:tblGrid>
      <w:tr>
        <w:trPr/>
        <w:tc>
          <w:tcPr>
            <w:tcW w:w="1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pPr>
            <w:r>
              <w:rPr/>
              <w:t>(a)</w:t>
            </w:r>
          </w:p>
        </w:tc>
        <w:tc>
          <w:tcPr>
            <w:tcW w:w="8570" w:type="dxa"/>
            <w:tcBorders/>
            <w:vAlign w:val="center"/>
          </w:tcPr>
          <w:p>
            <w:pPr>
              <w:pStyle w:val="TableContents"/>
              <w:bidi w:val="0"/>
              <w:spacing w:before="0" w:after="283"/>
              <w:jc w:val="both"/>
              <w:rPr/>
            </w:pPr>
            <w:r>
              <w:rPr/>
              <w:t>all expenses;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82"/>
        <w:gridCol w:w="9660"/>
      </w:tblGrid>
      <w:tr>
        <w:trPr/>
        <w:tc>
          <w:tcPr>
            <w:tcW w:w="6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(b)</w:t>
            </w:r>
          </w:p>
        </w:tc>
        <w:tc>
          <w:tcPr>
            <w:tcW w:w="9660" w:type="dxa"/>
            <w:tcBorders/>
            <w:vAlign w:val="center"/>
          </w:tcPr>
          <w:p>
            <w:pPr>
              <w:pStyle w:val="TableContents"/>
              <w:bidi w:val="0"/>
              <w:spacing w:before="0" w:after="283"/>
              <w:jc w:val="both"/>
              <w:rPr/>
            </w:pPr>
            <w:r>
              <w:rPr/>
              <w:t>interest from the date of forfeiture or surrender until payment:</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09"/>
        <w:gridCol w:w="9845"/>
      </w:tblGrid>
      <w:tr>
        <w:trPr/>
        <w:tc>
          <w:tcPr>
            <w:tcW w:w="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w:t>
            </w:r>
          </w:p>
        </w:tc>
        <w:tc>
          <w:tcPr>
            <w:tcW w:w="9845" w:type="dxa"/>
            <w:tcBorders/>
            <w:vAlign w:val="center"/>
          </w:tcPr>
          <w:p>
            <w:pPr>
              <w:pStyle w:val="TableContents"/>
              <w:bidi w:val="0"/>
              <w:spacing w:before="0" w:after="283"/>
              <w:jc w:val="both"/>
              <w:rPr/>
            </w:pPr>
            <w:r>
              <w:rPr/>
              <w:t>at the rate of which interest was payable on those monies before forfeiture; or</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4"/>
        <w:gridCol w:w="9534"/>
      </w:tblGrid>
      <w:tr>
        <w:trPr/>
        <w:tc>
          <w:tcPr>
            <w:tcW w:w="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pPr>
            <w:r>
              <w:rPr/>
              <w:t>(ii)</w:t>
            </w:r>
          </w:p>
        </w:tc>
        <w:tc>
          <w:tcPr>
            <w:tcW w:w="9534" w:type="dxa"/>
            <w:tcBorders/>
            <w:vAlign w:val="center"/>
          </w:tcPr>
          <w:p>
            <w:pPr>
              <w:pStyle w:val="TableContents"/>
              <w:bidi w:val="0"/>
              <w:spacing w:before="0" w:after="283"/>
              <w:jc w:val="both"/>
              <w:rPr/>
            </w:pPr>
            <w:r>
              <w:rPr/>
              <w:t>if no interest was so payable, at the Default Rate.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5.17</w:t>
            </w:r>
          </w:p>
        </w:tc>
        <w:tc>
          <w:tcPr>
            <w:tcW w:w="9728" w:type="dxa"/>
            <w:tcBorders/>
            <w:vAlign w:val="center"/>
          </w:tcPr>
          <w:p>
            <w:pPr>
              <w:pStyle w:val="TableContents"/>
              <w:bidi w:val="0"/>
              <w:spacing w:before="0" w:after="283"/>
              <w:jc w:val="both"/>
              <w:rPr/>
            </w:pPr>
            <w:r>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3"/>
        <w:gridCol w:w="9826"/>
      </w:tblGrid>
      <w:tr>
        <w:trPr/>
        <w:tc>
          <w:tcPr>
            <w:tcW w:w="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(a)</w:t>
            </w:r>
          </w:p>
        </w:tc>
        <w:tc>
          <w:tcPr>
            <w:tcW w:w="9826" w:type="dxa"/>
            <w:tcBorders/>
            <w:vAlign w:val="center"/>
          </w:tcPr>
          <w:p>
            <w:pPr>
              <w:pStyle w:val="TableContents"/>
              <w:bidi w:val="0"/>
              <w:spacing w:before="0" w:after="283"/>
              <w:jc w:val="both"/>
              <w:rPr/>
            </w:pPr>
            <w:r>
              <w:rPr/>
              <w:t>that the person making the declaration is a Director or Secretary of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5"/>
        <w:gridCol w:w="9782"/>
      </w:tblGrid>
      <w:tr>
        <w:trPr/>
        <w:tc>
          <w:tcPr>
            <w:tcW w:w="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(b)</w:t>
            </w:r>
          </w:p>
        </w:tc>
        <w:tc>
          <w:tcPr>
            <w:tcW w:w="9782" w:type="dxa"/>
            <w:tcBorders/>
            <w:vAlign w:val="center"/>
          </w:tcPr>
          <w:p>
            <w:pPr>
              <w:pStyle w:val="TableContents"/>
              <w:bidi w:val="0"/>
              <w:spacing w:before="0" w:after="283"/>
              <w:jc w:val="both"/>
              <w:rPr/>
            </w:pPr>
            <w:r>
              <w:rPr/>
              <w:t>that the particular Shares have been forfeited or surrendered on a particular date.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5.18</w:t>
            </w:r>
          </w:p>
        </w:tc>
        <w:tc>
          <w:tcPr>
            <w:tcW w:w="9728" w:type="dxa"/>
            <w:tcBorders/>
            <w:vAlign w:val="center"/>
          </w:tcPr>
          <w:p>
            <w:pPr>
              <w:pStyle w:val="TableContents"/>
              <w:bidi w:val="0"/>
              <w:spacing w:before="0" w:after="283"/>
              <w:jc w:val="both"/>
              <w:rPr/>
            </w:pPr>
            <w:r>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731"/>
        <w:gridCol w:w="9276"/>
      </w:tblGrid>
      <w:tr>
        <w:trPr/>
        <w:tc>
          <w:tcPr>
            <w:tcW w:w="19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6</w:t>
            </w:r>
          </w:p>
        </w:tc>
        <w:tc>
          <w:tcPr>
            <w:tcW w:w="9276" w:type="dxa"/>
            <w:tcBorders/>
            <w:vAlign w:val="center"/>
          </w:tcPr>
          <w:p>
            <w:pPr>
              <w:pStyle w:val="TableContents"/>
              <w:bidi w:val="0"/>
              <w:spacing w:before="0" w:after="283"/>
              <w:jc w:val="both"/>
              <w:rPr/>
            </w:pPr>
            <w:r>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Subject to the following Articles about the transfer of Shares, and provided that such transfer complies with applicable rules of the Designated Stock Exchange, the Commission and/or any other competent regulatory authority or otherwise under Applicable Law, a Member may transfer Shares to another person by completing an instrument of transfer in a common form or in a form prescribed by the Designated Stock Exchange, the Commission and/or any other competent regulatory authority or otherwise under Applicable Law or in any other form approved by the directors, executed: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7"/>
        <w:gridCol w:w="9742"/>
      </w:tblGrid>
      <w:tr>
        <w:trPr/>
        <w:tc>
          <w:tcPr>
            <w:tcW w:w="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(a)</w:t>
            </w:r>
          </w:p>
        </w:tc>
        <w:tc>
          <w:tcPr>
            <w:tcW w:w="9742" w:type="dxa"/>
            <w:tcBorders/>
            <w:vAlign w:val="center"/>
          </w:tcPr>
          <w:p>
            <w:pPr>
              <w:pStyle w:val="TableContents"/>
              <w:bidi w:val="0"/>
              <w:spacing w:before="0" w:after="283"/>
              <w:jc w:val="both"/>
              <w:rPr/>
            </w:pPr>
            <w:r>
              <w:rPr/>
              <w:t>where the Shares are Fully Paid, by or on behalf of that Member;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9"/>
        <w:gridCol w:w="9800"/>
      </w:tblGrid>
      <w:tr>
        <w:trPr/>
        <w:tc>
          <w:tcPr>
            <w:tcW w:w="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(b)</w:t>
            </w:r>
          </w:p>
        </w:tc>
        <w:tc>
          <w:tcPr>
            <w:tcW w:w="9800" w:type="dxa"/>
            <w:tcBorders/>
            <w:vAlign w:val="center"/>
          </w:tcPr>
          <w:p>
            <w:pPr>
              <w:pStyle w:val="TableContents"/>
              <w:bidi w:val="0"/>
              <w:spacing w:before="0" w:after="283"/>
              <w:jc w:val="both"/>
              <w:rPr/>
            </w:pPr>
            <w:r>
              <w:rPr/>
              <w:t>where the Shares are partly paid, by or on behalf of that Member and the transferee.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The transferor shall be deemed to remain the holder of a Share until the name of the transferee is entered into the Register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Where the Shares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1440" w:right="0" w:hanging="73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440" w:right="0" w:hanging="731"/>
        <w:jc w:val="both"/>
        <w:rPr>
          <w:caps w:val="false"/>
          <w:smallCaps w:val="false"/>
        </w:rPr>
      </w:pPr>
      <w:r>
        <w:rPr>
          <w:caps w:val="false"/>
          <w:smallCaps w:val="false"/>
        </w:rPr>
        <w:t> </w:t>
      </w:r>
    </w:p>
    <w:p>
      <w:pPr>
        <w:pStyle w:val="TextBody"/>
        <w:bidi w:val="0"/>
        <w:spacing w:before="0" w:after="0"/>
        <w:ind w:left="1440" w:right="0" w:hanging="73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1440" w:right="0" w:hanging="73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2"/>
        <w:gridCol w:w="9694"/>
      </w:tblGrid>
      <w:tr>
        <w:trPr/>
        <w:tc>
          <w:tcPr>
            <w:tcW w:w="5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(b)</w:t>
            </w:r>
          </w:p>
        </w:tc>
        <w:tc>
          <w:tcPr>
            <w:tcW w:w="9694"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1440" w:right="0" w:hanging="73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7"/>
        <w:gridCol w:w="9651"/>
      </w:tblGrid>
      <w:tr>
        <w:trPr/>
        <w:tc>
          <w:tcPr>
            <w:tcW w:w="6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(c)</w:t>
            </w:r>
          </w:p>
        </w:tc>
        <w:tc>
          <w:tcPr>
            <w:tcW w:w="9651"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1440" w:right="0" w:hanging="73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w:t>
            </w:r>
          </w:p>
        </w:tc>
      </w:tr>
    </w:tbl>
    <w:p>
      <w:pPr>
        <w:pStyle w:val="TextBody"/>
        <w:bidi w:val="0"/>
        <w:spacing w:before="0" w:after="0"/>
        <w:ind w:left="1440" w:right="0" w:hanging="73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2"/>
        <w:gridCol w:w="9850"/>
      </w:tblGrid>
      <w:tr>
        <w:trPr/>
        <w:tc>
          <w:tcPr>
            <w:tcW w:w="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(e)</w:t>
            </w:r>
          </w:p>
        </w:tc>
        <w:tc>
          <w:tcPr>
            <w:tcW w:w="9850" w:type="dxa"/>
            <w:tcBorders/>
            <w:vAlign w:val="center"/>
          </w:tcPr>
          <w:p>
            <w:pPr>
              <w:pStyle w:val="TableContents"/>
              <w:bidi w:val="0"/>
              <w:spacing w:before="0" w:after="283"/>
              <w:jc w:val="both"/>
              <w:rPr/>
            </w:pPr>
            <w:r>
              <w:rPr/>
              <w:t>the Shares transferred are Fully Paid Up and free of any lien in favour of the Company; and</w:t>
            </w:r>
          </w:p>
        </w:tc>
      </w:tr>
    </w:tbl>
    <w:p>
      <w:pPr>
        <w:pStyle w:val="TextBody"/>
        <w:bidi w:val="0"/>
        <w:spacing w:before="0" w:after="0"/>
        <w:ind w:left="1440" w:right="0" w:hanging="73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(f)</w:t>
            </w:r>
          </w:p>
        </w:tc>
        <w:tc>
          <w:tcPr>
            <w:tcW w:w="9964" w:type="dxa"/>
            <w:tcBorders/>
            <w:vAlign w:val="center"/>
          </w:tcPr>
          <w:p>
            <w:pPr>
              <w:pStyle w:val="TableContents"/>
              <w:bidi w:val="0"/>
              <w:spacing w:before="0" w:after="283"/>
              <w:jc w:val="both"/>
              <w:rPr/>
            </w:pPr>
            <w:r>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48" w:type="dxa"/>
            <w:tcBorders/>
            <w:vAlign w:val="center"/>
          </w:tcPr>
          <w:p>
            <w:pPr>
              <w:pStyle w:val="TableContents"/>
              <w:bidi w:val="0"/>
              <w:spacing w:before="0" w:after="283"/>
              <w:jc w:val="both"/>
              <w:rPr/>
            </w:pPr>
            <w:r>
              <w:rPr/>
              <w:t>The registration of transfers may, on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15"/>
        <w:gridCol w:w="9741"/>
      </w:tblGrid>
      <w:tr>
        <w:trPr/>
        <w:tc>
          <w:tcPr>
            <w:tcW w:w="4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6.5</w:t>
            </w:r>
          </w:p>
        </w:tc>
        <w:tc>
          <w:tcPr>
            <w:tcW w:w="9741" w:type="dxa"/>
            <w:tcBorders/>
            <w:vAlign w:val="center"/>
          </w:tcPr>
          <w:p>
            <w:pPr>
              <w:pStyle w:val="TableContents"/>
              <w:bidi w:val="0"/>
              <w:spacing w:before="0" w:after="283"/>
              <w:jc w:val="both"/>
              <w:rPr/>
            </w:pPr>
            <w:r>
              <w:rPr/>
              <w:t>All instruments of transfer that are registered shall be retained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6.6</w:t>
            </w:r>
          </w:p>
        </w:tc>
        <w:tc>
          <w:tcPr>
            <w:tcW w:w="9848" w:type="dxa"/>
            <w:tcBorders/>
            <w:vAlign w:val="center"/>
          </w:tcPr>
          <w:p>
            <w:pPr>
              <w:pStyle w:val="TableContents"/>
              <w:bidi w:val="0"/>
              <w:spacing w:before="0" w:after="283"/>
              <w:jc w:val="both"/>
              <w:rPr/>
            </w:pPr>
            <w:r>
              <w:rPr/>
              <w:t>If the Directors refuse to register a transfer of any Shares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591"/>
        <w:gridCol w:w="9454"/>
      </w:tblGrid>
      <w:tr>
        <w:trPr/>
        <w:tc>
          <w:tcPr>
            <w:tcW w:w="16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pPr>
            <w:r>
              <w:rPr/>
              <w:t>7</w:t>
            </w:r>
          </w:p>
        </w:tc>
        <w:tc>
          <w:tcPr>
            <w:tcW w:w="9454" w:type="dxa"/>
            <w:tcBorders/>
            <w:vAlign w:val="center"/>
          </w:tcPr>
          <w:p>
            <w:pPr>
              <w:pStyle w:val="TableContents"/>
              <w:bidi w:val="0"/>
              <w:spacing w:before="0" w:after="283"/>
              <w:jc w:val="both"/>
              <w:rPr/>
            </w:pPr>
            <w:r>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If a Member dies, the only persons recognised by the Company as having any title to the deceased Members’ interest are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5"/>
        <w:gridCol w:w="9790"/>
      </w:tblGrid>
      <w:tr>
        <w:trPr/>
        <w:tc>
          <w:tcPr>
            <w:tcW w:w="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(a)</w:t>
            </w:r>
          </w:p>
        </w:tc>
        <w:tc>
          <w:tcPr>
            <w:tcW w:w="9790" w:type="dxa"/>
            <w:tcBorders/>
            <w:vAlign w:val="center"/>
          </w:tcPr>
          <w:p>
            <w:pPr>
              <w:pStyle w:val="TableContents"/>
              <w:bidi w:val="0"/>
              <w:spacing w:before="0" w:after="283"/>
              <w:jc w:val="both"/>
              <w:rPr/>
            </w:pPr>
            <w:r>
              <w:rPr/>
              <w:t>where the deceased Member was a joint holder, the survivor or survivors;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where the deceased Member was a sole holder, that Member’s personal representative or representatives.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Nothing in these Articles shall release the deceased Member’s estate from any liability in respect of any Share, whether the deceased was a sole holder or a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t>A person becoming entitled to a Share in consequence of the death or bankruptcy of a Member may elect to do either of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731"/>
        <w:gridCol w:w="9374"/>
      </w:tblGrid>
      <w:tr>
        <w:trPr/>
        <w:tc>
          <w:tcPr>
            <w:tcW w:w="10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(a)</w:t>
            </w:r>
          </w:p>
        </w:tc>
        <w:tc>
          <w:tcPr>
            <w:tcW w:w="9374" w:type="dxa"/>
            <w:tcBorders/>
            <w:vAlign w:val="center"/>
          </w:tcPr>
          <w:p>
            <w:pPr>
              <w:pStyle w:val="TableContents"/>
              <w:bidi w:val="0"/>
              <w:spacing w:before="0" w:after="283"/>
              <w:jc w:val="both"/>
              <w:rPr/>
            </w:pPr>
            <w:r>
              <w:rPr/>
              <w:t>to become the holder of the Share;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738"/>
        <w:gridCol w:w="9371"/>
      </w:tblGrid>
      <w:tr>
        <w:trPr/>
        <w:tc>
          <w:tcPr>
            <w:tcW w:w="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(b)</w:t>
            </w:r>
          </w:p>
        </w:tc>
        <w:tc>
          <w:tcPr>
            <w:tcW w:w="9371" w:type="dxa"/>
            <w:tcBorders/>
            <w:vAlign w:val="center"/>
          </w:tcPr>
          <w:p>
            <w:pPr>
              <w:pStyle w:val="TableContents"/>
              <w:bidi w:val="0"/>
              <w:spacing w:before="0" w:after="283"/>
              <w:jc w:val="both"/>
              <w:rPr/>
            </w:pPr>
            <w:r>
              <w:rPr/>
              <w:t>to transfer the Share to another person.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42"/>
        <w:gridCol w:w="9823"/>
      </w:tblGrid>
      <w:tr>
        <w:trPr/>
        <w:tc>
          <w:tcPr>
            <w:tcW w:w="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7.4</w:t>
            </w:r>
          </w:p>
        </w:tc>
        <w:tc>
          <w:tcPr>
            <w:tcW w:w="9823" w:type="dxa"/>
            <w:tcBorders/>
            <w:vAlign w:val="center"/>
          </w:tcPr>
          <w:p>
            <w:pPr>
              <w:pStyle w:val="TableContents"/>
              <w:bidi w:val="0"/>
              <w:spacing w:before="0" w:after="283"/>
              <w:jc w:val="both"/>
              <w:rPr/>
            </w:pPr>
            <w:r>
              <w:rPr/>
              <w:t>That person must produce such evidence of his entitlement as the Directors may properly require.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pPr>
            <w:r>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15"/>
        <w:gridCol w:w="9629"/>
      </w:tblGrid>
      <w:tr>
        <w:trPr/>
        <w:tc>
          <w:tcPr>
            <w:tcW w:w="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7.6</w:t>
            </w:r>
          </w:p>
        </w:tc>
        <w:tc>
          <w:tcPr>
            <w:tcW w:w="9629" w:type="dxa"/>
            <w:tcBorders/>
            <w:vAlign w:val="center"/>
          </w:tcPr>
          <w:p>
            <w:pPr>
              <w:pStyle w:val="TableContents"/>
              <w:bidi w:val="0"/>
              <w:spacing w:before="0" w:after="283"/>
              <w:jc w:val="both"/>
              <w:rPr/>
            </w:pPr>
            <w:r>
              <w:rPr/>
              <w:t>If the person elects to transfer the Share to another person then: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0"/>
        <w:gridCol w:w="9830"/>
      </w:tblGrid>
      <w:tr>
        <w:trPr/>
        <w:tc>
          <w:tcPr>
            <w:tcW w:w="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(a)</w:t>
            </w:r>
          </w:p>
        </w:tc>
        <w:tc>
          <w:tcPr>
            <w:tcW w:w="9830" w:type="dxa"/>
            <w:tcBorders/>
            <w:vAlign w:val="center"/>
          </w:tcPr>
          <w:p>
            <w:pPr>
              <w:pStyle w:val="TableContents"/>
              <w:bidi w:val="0"/>
              <w:spacing w:before="0" w:after="283"/>
              <w:jc w:val="both"/>
              <w:rPr/>
            </w:pPr>
            <w:r>
              <w:rPr/>
              <w:t>if the Share is Fully Paid Up, the transferor must execute an instrument of transfer;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if the Share is nil or Partly Paid Up, the transferor and the transferee must execute an instrument of transfer.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7.7</w:t>
            </w:r>
          </w:p>
        </w:tc>
        <w:tc>
          <w:tcPr>
            <w:tcW w:w="9848" w:type="dxa"/>
            <w:tcBorders/>
            <w:vAlign w:val="center"/>
          </w:tcPr>
          <w:p>
            <w:pPr>
              <w:pStyle w:val="TableContents"/>
              <w:bidi w:val="0"/>
              <w:spacing w:before="0" w:after="283"/>
              <w:jc w:val="both"/>
              <w:rPr/>
            </w:pPr>
            <w:r>
              <w:rPr/>
              <w:t>All the Articles relating to the transfer of Shares shall apply to the notice or, as appropriate, the instrument of transfer.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7.8</w:t>
            </w:r>
          </w:p>
        </w:tc>
        <w:tc>
          <w:tcPr>
            <w:tcW w:w="9848" w:type="dxa"/>
            <w:tcBorders/>
            <w:vAlign w:val="center"/>
          </w:tcPr>
          <w:p>
            <w:pPr>
              <w:pStyle w:val="TableContents"/>
              <w:bidi w:val="0"/>
              <w:spacing w:before="0" w:after="283"/>
              <w:jc w:val="both"/>
              <w:rPr/>
            </w:pPr>
            <w:r>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7.9</w:t>
            </w:r>
          </w:p>
        </w:tc>
        <w:tc>
          <w:tcPr>
            <w:tcW w:w="9848" w:type="dxa"/>
            <w:tcBorders/>
            <w:vAlign w:val="center"/>
          </w:tcPr>
          <w:p>
            <w:pPr>
              <w:pStyle w:val="TableContents"/>
              <w:bidi w:val="0"/>
              <w:spacing w:before="0" w:after="283"/>
              <w:jc w:val="both"/>
              <w:rPr/>
            </w:pPr>
            <w:r>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684"/>
        <w:gridCol w:w="9336"/>
      </w:tblGrid>
      <w:tr>
        <w:trPr/>
        <w:tc>
          <w:tcPr>
            <w:tcW w:w="1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8</w:t>
            </w:r>
          </w:p>
        </w:tc>
        <w:tc>
          <w:tcPr>
            <w:tcW w:w="9336" w:type="dxa"/>
            <w:tcBorders/>
            <w:vAlign w:val="center"/>
          </w:tcPr>
          <w:p>
            <w:pPr>
              <w:pStyle w:val="TableContents"/>
              <w:bidi w:val="0"/>
              <w:spacing w:before="0" w:after="283"/>
              <w:jc w:val="both"/>
              <w:rPr/>
            </w:pPr>
            <w:r>
              <w:rPr/>
              <w:t>Alteration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Subject to the rights of the holders of Series A Shares contemplated by these Articles, to the fullest extent permitted by the Act, the Company may by Ordinary Resolution do any of the following and amend its Memorandum for that purpose: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(b)</w:t>
            </w:r>
          </w:p>
        </w:tc>
        <w:tc>
          <w:tcPr>
            <w:tcW w:w="9877" w:type="dxa"/>
            <w:tcBorders/>
            <w:vAlign w:val="center"/>
          </w:tcPr>
          <w:p>
            <w:pPr>
              <w:pStyle w:val="TableContents"/>
              <w:bidi w:val="0"/>
              <w:spacing w:before="0" w:after="283"/>
              <w:jc w:val="both"/>
              <w:rPr/>
            </w:pPr>
            <w:r>
              <w:rPr/>
              <w:t>consolidate and divide all or any of its share capital into Shares of larger amount than its existing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(c)</w:t>
            </w:r>
          </w:p>
        </w:tc>
        <w:tc>
          <w:tcPr>
            <w:tcW w:w="9903" w:type="dxa"/>
            <w:tcBorders/>
            <w:vAlign w:val="center"/>
          </w:tcPr>
          <w:p>
            <w:pPr>
              <w:pStyle w:val="TableContents"/>
              <w:bidi w:val="0"/>
              <w:spacing w:before="0" w:after="283"/>
              <w:jc w:val="both"/>
              <w:rPr/>
            </w:pPr>
            <w:r>
              <w:rPr/>
              <w:t>convert all or any of its Paid Up Shares into stock, and reconvert that stock into Paid Up Shares of any denomination;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(e)</w:t>
            </w:r>
          </w:p>
        </w:tc>
        <w:tc>
          <w:tcPr>
            <w:tcW w:w="9947" w:type="dxa"/>
            <w:tcBorders/>
            <w:vAlign w:val="center"/>
          </w:tcPr>
          <w:p>
            <w:pPr>
              <w:pStyle w:val="TableContents"/>
              <w:bidi w:val="0"/>
              <w:spacing w:before="0" w:after="283"/>
              <w:jc w:val="both"/>
              <w:rPr/>
            </w:pPr>
            <w:r>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sell the Shares representing the fractions for the best price reasonably obtainable to any person (including, subject to the provisions of the Act,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36"/>
        <w:gridCol w:w="9712"/>
      </w:tblGrid>
      <w:tr>
        <w:trPr/>
        <w:tc>
          <w:tcPr>
            <w:tcW w:w="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(b)</w:t>
            </w:r>
          </w:p>
        </w:tc>
        <w:tc>
          <w:tcPr>
            <w:tcW w:w="9712" w:type="dxa"/>
            <w:tcBorders/>
            <w:vAlign w:val="center"/>
          </w:tcPr>
          <w:p>
            <w:pPr>
              <w:pStyle w:val="TableContents"/>
              <w:bidi w:val="0"/>
              <w:spacing w:before="0" w:after="283"/>
              <w:jc w:val="both"/>
              <w:rPr/>
            </w:pPr>
            <w:r>
              <w:rPr/>
              <w:t>distribute the net proceeds in due proportion among those Members.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pPr>
            <w:r>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349"/>
        <w:gridCol w:w="9762"/>
      </w:tblGrid>
      <w:tr>
        <w:trPr/>
        <w:tc>
          <w:tcPr>
            <w:tcW w:w="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9</w:t>
            </w:r>
          </w:p>
        </w:tc>
        <w:tc>
          <w:tcPr>
            <w:tcW w:w="9762" w:type="dxa"/>
            <w:tcBorders/>
            <w:vAlign w:val="center"/>
          </w:tcPr>
          <w:p>
            <w:pPr>
              <w:pStyle w:val="TableContents"/>
              <w:bidi w:val="0"/>
              <w:spacing w:before="0" w:after="283"/>
              <w:jc w:val="both"/>
              <w:rPr/>
            </w:pPr>
            <w:r>
              <w:rPr/>
              <w:t>Redemption and purchase of own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Subject to the Act and to any rights for the time being conferred on the Members holding a particular class of Shares, the Commission and/or any other competent regulatory authority or otherwise under Applicable Law the Company may by its Directors: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 xml:space="preserve">When making a payment in respect of the redemption or purchase of Shares, the Directors may make the payment in cash or </w:t>
            </w:r>
            <w:r>
              <w:rPr>
                <w:i/>
              </w:rPr>
              <w:t>in specie</w:t>
            </w:r>
            <w:r>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rP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9.3</w:t>
            </w:r>
          </w:p>
        </w:tc>
        <w:tc>
          <w:tcPr>
            <w:tcW w:w="9522" w:type="dxa"/>
            <w:tcBorders/>
            <w:vAlign w:val="center"/>
          </w:tcPr>
          <w:p>
            <w:pPr>
              <w:pStyle w:val="TableContents"/>
              <w:bidi w:val="0"/>
              <w:spacing w:before="0" w:after="283"/>
              <w:jc w:val="both"/>
              <w:rPr/>
            </w:pPr>
            <w:r>
              <w:rPr/>
              <w:t>Upon the date of redemption or purchase of a Share: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the Member holding that Share shall cease to be entitled to any rights in respect of the Share other than the right to receive:</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23"/>
        <w:gridCol w:w="9247"/>
      </w:tblGrid>
      <w:tr>
        <w:trPr/>
        <w:tc>
          <w:tcPr>
            <w:tcW w:w="1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pPr>
            <w:r>
              <w:rPr/>
              <w:t>(i)</w:t>
            </w:r>
          </w:p>
        </w:tc>
        <w:tc>
          <w:tcPr>
            <w:tcW w:w="9247" w:type="dxa"/>
            <w:tcBorders/>
            <w:vAlign w:val="center"/>
          </w:tcPr>
          <w:p>
            <w:pPr>
              <w:pStyle w:val="TableContents"/>
              <w:bidi w:val="0"/>
              <w:spacing w:before="0" w:after="283"/>
              <w:jc w:val="both"/>
              <w:rPr/>
            </w:pPr>
            <w:r>
              <w:rPr/>
              <w:t>the price for the Share; and</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2126"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38"/>
        <w:gridCol w:w="9823"/>
      </w:tblGrid>
      <w:tr>
        <w:trPr/>
        <w:tc>
          <w:tcPr>
            <w:tcW w:w="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(ii)</w:t>
            </w:r>
          </w:p>
        </w:tc>
        <w:tc>
          <w:tcPr>
            <w:tcW w:w="9823" w:type="dxa"/>
            <w:tcBorders/>
            <w:vAlign w:val="center"/>
          </w:tcPr>
          <w:p>
            <w:pPr>
              <w:pStyle w:val="TableContents"/>
              <w:bidi w:val="0"/>
              <w:spacing w:before="0" w:after="283"/>
              <w:jc w:val="both"/>
              <w:rPr/>
            </w:pPr>
            <w:r>
              <w:rPr/>
              <w:t>any dividend declared in respect of the Share prior to the date of redemption or purchase;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0"/>
        <w:gridCol w:w="9855"/>
      </w:tblGrid>
      <w:tr>
        <w:trPr/>
        <w:tc>
          <w:tcPr>
            <w:tcW w:w="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(b)</w:t>
            </w:r>
          </w:p>
        </w:tc>
        <w:tc>
          <w:tcPr>
            <w:tcW w:w="9855" w:type="dxa"/>
            <w:tcBorders/>
            <w:vAlign w:val="center"/>
          </w:tcPr>
          <w:p>
            <w:pPr>
              <w:pStyle w:val="TableContents"/>
              <w:bidi w:val="0"/>
              <w:spacing w:before="0" w:after="283"/>
              <w:jc w:val="both"/>
              <w:rPr/>
            </w:pPr>
            <w:r>
              <w:rPr/>
              <w:t>the Member’s name shall be removed from the register of Members with respect to the Share;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2"/>
        <w:gridCol w:w="9839"/>
      </w:tblGrid>
      <w:tr>
        <w:trPr/>
        <w:tc>
          <w:tcPr>
            <w:tcW w:w="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(c)</w:t>
            </w:r>
          </w:p>
        </w:tc>
        <w:tc>
          <w:tcPr>
            <w:tcW w:w="9839" w:type="dxa"/>
            <w:tcBorders/>
            <w:vAlign w:val="center"/>
          </w:tcPr>
          <w:p>
            <w:pPr>
              <w:pStyle w:val="TableContents"/>
              <w:bidi w:val="0"/>
              <w:spacing w:before="0" w:after="283"/>
              <w:jc w:val="both"/>
              <w:rPr/>
            </w:pPr>
            <w:r>
              <w:rPr/>
              <w:t>the Share shall be cancelled or held as a Treasury Share, as the Directors may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For the purpose of Article 9.3, the date of redemption or purchase is the date when the redemption or purchase falls due.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Series A Shares – Put Option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 xml:space="preserve">Subject to the Act, a notice in writing (a </w:t>
            </w:r>
            <w:r>
              <w:rPr>
                <w:b/>
              </w:rPr>
              <w:t>Put Notice</w:t>
            </w:r>
            <w:r>
              <w:rPr/>
              <w:t>) may be delivered by a Series A Majority to the Company at any time on or after the fifth anniversary of the Date of Adoption, at a redemption price per share equal to 100% of the Accrued Value attributable to such Series A Share specifying that the Company shall make an offer to all of the Series A Shareholders to redeem all of the Series A Shares on a date in accordance with Article 9.6.</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9.6</w:t>
            </w:r>
          </w:p>
        </w:tc>
        <w:tc>
          <w:tcPr>
            <w:tcW w:w="9848" w:type="dxa"/>
            <w:tcBorders/>
            <w:vAlign w:val="center"/>
          </w:tcPr>
          <w:p>
            <w:pPr>
              <w:pStyle w:val="TableContents"/>
              <w:bidi w:val="0"/>
              <w:spacing w:before="0" w:after="283"/>
              <w:jc w:val="both"/>
              <w:rPr/>
            </w:pPr>
            <w:r>
              <w:rPr/>
              <w:t xml:space="preserve">The </w:t>
            </w:r>
            <w:r>
              <w:rPr>
                <w:b/>
              </w:rPr>
              <w:t>Put Date</w:t>
            </w:r>
            <w:r>
              <w:rPr/>
              <w:t xml:space="preserve"> shall be not less than the date that is 20 days after the Put Notice is delivered. The Put Notice shall state: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8"/>
        <w:gridCol w:w="9821"/>
      </w:tblGrid>
      <w:tr>
        <w:trPr/>
        <w:tc>
          <w:tcPr>
            <w:tcW w:w="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(a)</w:t>
            </w:r>
          </w:p>
        </w:tc>
        <w:tc>
          <w:tcPr>
            <w:tcW w:w="9821" w:type="dxa"/>
            <w:tcBorders/>
            <w:vAlign w:val="center"/>
          </w:tcPr>
          <w:p>
            <w:pPr>
              <w:pStyle w:val="TableContents"/>
              <w:bidi w:val="0"/>
              <w:spacing w:before="0" w:after="283"/>
              <w:jc w:val="both"/>
              <w:rPr/>
            </w:pPr>
            <w:r>
              <w:rPr/>
              <w:t>the Put Date and the redemption price calculated in accordance with Article 9.5;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for Series A Shares in certificated form, that the Series A Shareholder is to surrender to the Company, in the manner and at the place designated, his, her or its certificate or certificates representing the Series A Shares to be redeemed (or deliver an indemnity for lost certificate in a form acceptable to the Board, in respect of any lost certificate(s)).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9.7</w:t>
            </w:r>
          </w:p>
        </w:tc>
        <w:tc>
          <w:tcPr>
            <w:tcW w:w="9848" w:type="dxa"/>
            <w:tcBorders/>
            <w:vAlign w:val="center"/>
          </w:tcPr>
          <w:p>
            <w:pPr>
              <w:pStyle w:val="TableContents"/>
              <w:bidi w:val="0"/>
              <w:spacing w:before="0" w:after="283"/>
              <w:jc w:val="both"/>
              <w:rPr/>
            </w:pPr>
            <w:r>
              <w:rPr/>
              <w:t xml:space="preserve">Within ten days of receipt of the Put Notice, the Company shall deliver to each Series A Shareholder, a notice (the </w:t>
            </w:r>
            <w:r>
              <w:rPr>
                <w:b/>
              </w:rPr>
              <w:t>Put Offer Notice</w:t>
            </w:r>
            <w:r>
              <w:rPr/>
              <w:t xml:space="preserve">) that shall be open for acceptance by any Series A Shareholder within 5 days of deemed service of the Put Offer Notice (the </w:t>
            </w:r>
            <w:r>
              <w:rPr>
                <w:b/>
              </w:rPr>
              <w:t>Put Acceptance Date</w:t>
            </w:r>
            <w:r>
              <w:rPr/>
              <w:t>) specifying: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the terms of the Put Notice (including, for the avoidance of doubt, the Put Date and the redemption price calculated in accordance with Article 9.5);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1"/>
        <w:gridCol w:w="9752"/>
      </w:tblGrid>
      <w:tr>
        <w:trPr/>
        <w:tc>
          <w:tcPr>
            <w:tcW w:w="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(b)</w:t>
            </w:r>
          </w:p>
        </w:tc>
        <w:tc>
          <w:tcPr>
            <w:tcW w:w="9752" w:type="dxa"/>
            <w:tcBorders/>
            <w:vAlign w:val="center"/>
          </w:tcPr>
          <w:p>
            <w:pPr>
              <w:pStyle w:val="TableContents"/>
              <w:bidi w:val="0"/>
              <w:spacing w:before="0" w:after="283"/>
              <w:jc w:val="both"/>
              <w:rPr/>
            </w:pPr>
            <w:r>
              <w:rPr/>
              <w:t>the address to which an acceptance of the Put Offer Notice should be sent.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9.8</w:t>
            </w:r>
          </w:p>
        </w:tc>
        <w:tc>
          <w:tcPr>
            <w:tcW w:w="9848" w:type="dxa"/>
            <w:tcBorders/>
            <w:vAlign w:val="center"/>
          </w:tcPr>
          <w:p>
            <w:pPr>
              <w:pStyle w:val="TableContents"/>
              <w:bidi w:val="0"/>
              <w:spacing w:before="0" w:after="283"/>
              <w:jc w:val="both"/>
              <w:rPr/>
            </w:pPr>
            <w:r>
              <w:rPr/>
              <w:t xml:space="preserve">On the Put Date, the Company shall redeem all of the Series A Shares held by those Series A Shareholders who had accepted the Put Offer Notice by the Put Acceptance Date (the </w:t>
            </w:r>
            <w:r>
              <w:rPr>
                <w:b/>
              </w:rPr>
              <w:t>Accepting Shareholders</w:t>
            </w:r>
            <w:r>
              <w:rPr/>
              <w:t>), and the Accepting Shareholders shall deliver to the Company at its registered office the certificate(s) for the Series A Shares (or an indemnity for lost certificate in a form acceptable to the Board, in respect of any lost certificate(s)) and on such delivery (and against the receipt by Accepting Shareholder for the redemption moneys payable in respect of his Series A Shares) the Company shall pay each Accepting Shareholder (or, in the case of joint holders, to the holder of Series A Shares whose name stands first in the register of Shareholders in respect of those Series A Shares) the Accrued Value for each Series A Share being redeemed.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4"/>
        <w:gridCol w:w="9787"/>
      </w:tblGrid>
      <w:tr>
        <w:trPr/>
        <w:tc>
          <w:tcPr>
            <w:tcW w:w="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9.9</w:t>
            </w:r>
          </w:p>
        </w:tc>
        <w:tc>
          <w:tcPr>
            <w:tcW w:w="9787" w:type="dxa"/>
            <w:tcBorders/>
            <w:vAlign w:val="center"/>
          </w:tcPr>
          <w:p>
            <w:pPr>
              <w:pStyle w:val="TableContents"/>
              <w:bidi w:val="0"/>
              <w:spacing w:before="0" w:after="283"/>
              <w:jc w:val="both"/>
              <w:rPr/>
            </w:pPr>
            <w:r>
              <w:rPr/>
              <w:t>The Company shall cancel the share certificate of the Accepting Shareholder concerned.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9.10</w:t>
            </w:r>
          </w:p>
        </w:tc>
        <w:tc>
          <w:tcPr>
            <w:tcW w:w="9728" w:type="dxa"/>
            <w:tcBorders/>
            <w:vAlign w:val="center"/>
          </w:tcPr>
          <w:p>
            <w:pPr>
              <w:pStyle w:val="TableContents"/>
              <w:bidi w:val="0"/>
              <w:spacing w:before="0" w:after="283"/>
              <w:jc w:val="both"/>
              <w:rPr/>
            </w:pPr>
            <w:r>
              <w:rPr/>
              <w:t>Following receipt by the Company of a Put Notice, the Company shall take all necessary steps to the extent permitted by Applicable Law to facilitate the creation of sufficient profits available for distribution in order to complete the redemption of the Series A Shares pursuant to the Put Notice as soon as reasonably practicable.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9.11</w:t>
            </w:r>
          </w:p>
        </w:tc>
        <w:tc>
          <w:tcPr>
            <w:tcW w:w="9728" w:type="dxa"/>
            <w:tcBorders/>
            <w:vAlign w:val="center"/>
          </w:tcPr>
          <w:p>
            <w:pPr>
              <w:pStyle w:val="TableContents"/>
              <w:bidi w:val="0"/>
              <w:spacing w:before="0" w:after="283"/>
              <w:jc w:val="both"/>
              <w:rPr/>
            </w:pPr>
            <w:r>
              <w:rPr/>
              <w:t>If, having complied with its obligations in Article 9.10, on any due date for redemption of Series A Shares the Company is prohibited by law from redeeming all or any of the Series A Shares then due to be redeemed, it shall on the due date, redeem that number of the Series A Shares as it may then lawfully redeem, and if there is more than one holder whose Series A Shares are due to be redeemed then the Series A Shares shall be redeemed in proportion as nearly as may be to their existing holdings of Series A Shares and the Company shall redeem the balance of those shares as soon as reasonably practicable after it is not so prohibited and, for so long as the prohibition remains and any Series A Shares have not been redeemed (and notwithstanding any other provisions of these Articles) the Preference Dividend shall continue to accrue up to the date of redemption and the Company shall not pay any dividend or otherwise make any distribution of capital or otherwise (except in the ordinary course of business) decrease its profits available for distribution. If the Company fails to make any partial redemption of Series A Shares on any due date for redemption, then subsequent redemptions of Series A Shares shall be deemed to be of those Series A Shares which first became due for redemption.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9.12</w:t>
            </w:r>
          </w:p>
        </w:tc>
        <w:tc>
          <w:tcPr>
            <w:tcW w:w="9728" w:type="dxa"/>
            <w:tcBorders/>
            <w:vAlign w:val="center"/>
          </w:tcPr>
          <w:p>
            <w:pPr>
              <w:pStyle w:val="TableContents"/>
              <w:bidi w:val="0"/>
              <w:spacing w:before="0" w:after="283"/>
              <w:jc w:val="both"/>
              <w:rPr/>
            </w:pPr>
            <w:r>
              <w:rPr/>
              <w:t>In the event that any portion of the redemption price has not been paid within five (5) Business Days following the Put Date and the Company is not prohibited by law from paying the redemption price, interest on such unpaid portion of the redemption price shall accrue thereon until such amount is paid in full at a rate equal to the lesser of (i) 24.0% per annum and (ii) the maximum rate permitted under Applicable Law. Such interest shall be paid by the Company in cash.</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9.13</w:t>
            </w:r>
          </w:p>
        </w:tc>
        <w:tc>
          <w:tcPr>
            <w:tcW w:w="9728" w:type="dxa"/>
            <w:tcBorders/>
            <w:vAlign w:val="center"/>
          </w:tcPr>
          <w:p>
            <w:pPr>
              <w:pStyle w:val="TableContents"/>
              <w:bidi w:val="0"/>
              <w:spacing w:before="0" w:after="283"/>
              <w:jc w:val="both"/>
              <w:rPr/>
            </w:pPr>
            <w:r>
              <w:rPr/>
              <w:t>Subject to Articles 9.5 to 9.10, the Company authorises the Board to determine the manner or any of the terms of any redemption or purchase to the extent permitted by the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Series A Shares – Call Option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9.14</w:t>
            </w:r>
          </w:p>
        </w:tc>
        <w:tc>
          <w:tcPr>
            <w:tcW w:w="9728" w:type="dxa"/>
            <w:tcBorders/>
            <w:vAlign w:val="center"/>
          </w:tcPr>
          <w:p>
            <w:pPr>
              <w:pStyle w:val="TableContents"/>
              <w:bidi w:val="0"/>
              <w:spacing w:before="0" w:after="283"/>
              <w:jc w:val="both"/>
              <w:rPr/>
            </w:pPr>
            <w:r>
              <w:rPr/>
              <w:t xml:space="preserve">Subject to the Act, a notice in writing (a </w:t>
            </w:r>
            <w:r>
              <w:rPr>
                <w:b/>
              </w:rPr>
              <w:t>Call Notice</w:t>
            </w:r>
            <w:r>
              <w:rPr/>
              <w:t>) may be delivered by the Company to all of the Series A Shareholders at any time: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after the Date of Adoption but before the first anniversary of the Date of Adoption, at a redemption price per share equal to the greater of (i) 150% of the Accrued Value (which shall be payable in cash) and (ii) the amount per Ordinary Share as would have been payable on liquidation had all Series A Shares been converted into Ordinary Shares in accordance with these Articles immediately prior to such Call Notice based on the then effective rate of conversion (which shall be payable, at the option of the Company, in cash or Ordinary Shares or a combination thereof, with the value of such Ordinary Shares being the closing price of such Ordinary Shares on the Designated Stock Exchange on the Call Date); or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after the first anniversary of the Date of Adoption but before the second anniversary of the Date of Adoption, at a redemption price per share equal to the greater of (i) 140% of the Accrued Value (which shall be payable in cash) and (ii) the amount per Ordinary Share as would have been payable on liquidation had all Series A Shares been converted into Ordinary Shares in accordance with these Articles immediately prior to such Call Notice based on the then effective rate of conversion (which shall be payable, at the option of the Company, in cash or Ordinary Shares or a combination thereof, with the value of such Ordinary Shares being the closing price of such Ordinary Shares on the Designated Stock Exchange on the Call Date);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after the second anniversary of the Date of Adoption but before the third anniversary of the Date of Adoption, at a redemption price per share equal to the greater of (i) 130% of the Accrued Value (which shall be payable in cash) and (ii) the amount per Ordinary Share as would have been payable on liquidation had all Series A Shares been converted into Ordinary Shares in accordance with these Articles immediately prior to such Call Notice based on the then effective rate of conversion (which shall be payable, at the option of the Company, in cash or Ordinary Shares or a combination thereof, with the value of such Ordinary Shares being the closing price of such Ordinary Shares on the Designated Stock Exchange on the Call Date);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t>after the third anniversary of the Date of Adoption but before the fourth anniversary of the Date of Adoption, at a redemption price per share equal to the greater of (i) 120% of the Accrued Value (which shall be payable in cash) and (ii) the amount per Ordinary Share as would have been payable on liquidation had all Series A Shares been converted into Ordinary Shares in accordance with these Articles immediately prior to such Call Notice based on the then effective rate of conversion (which shall be payable, at the option of the Company, in cash or Ordinary Shares or a combination thereof, with the value of such Ordinary Shares being the closing price of such Ordinary Shares on the Designated Stock Exchange on the Call Date);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after the fourth anniversary of the Date of Adoption but before the fifth anniversary of the Date of Adoption, at a redemption price per share equal to the greater of (i) 110% of the Accrued Value (which shall be payable in cash) and (ii) the amount per Ordinary Share as would have been payable on liquidation had all Series A Shares been converted into Ordinary Shares in accordance with these Articles immediately prior to such Call Notice based on the then effective rate of conversion (which shall be payable, at the option of the Company, in cash or Ordinary Shares or a combination thereof, with the value of such Ordinary Shares being the closing price of such Ordinary Shares on the Designated Stock Exchange on the Call Date); or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988" w:type="dxa"/>
            <w:tcBorders/>
            <w:vAlign w:val="center"/>
          </w:tcPr>
          <w:p>
            <w:pPr>
              <w:pStyle w:val="TableContents"/>
              <w:bidi w:val="0"/>
              <w:spacing w:before="0" w:after="283"/>
              <w:jc w:val="both"/>
              <w:rPr/>
            </w:pPr>
            <w:r>
              <w:rPr/>
              <w:t>after the fifth anniversary of the Date of Adoption, at a redemption price per share equal to the greater of (i) 100% of the Accrued Value (which shall be payable in cash) and (ii) the amount per Ordinary Share as would have been payable on liquidation had all Series A Shares been converted into Ordinary Shares in accordance with these Articles immediately prior to such Call Notice based on the then effective rate of conversion (which shall be payable, at the option of the Company, in cash or Ordinary Shares or a combination thereof, with the value of such Ordinary Shares being the closing price of such Ordinary Shares on the Designated Stock Exchange on the Call Date);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specifying that the Company shall redeem all or some of the Series A Shares on a date in accordance with Article 9.15.</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9.15</w:t>
            </w:r>
          </w:p>
        </w:tc>
        <w:tc>
          <w:tcPr>
            <w:tcW w:w="9728" w:type="dxa"/>
            <w:tcBorders/>
            <w:vAlign w:val="center"/>
          </w:tcPr>
          <w:p>
            <w:pPr>
              <w:pStyle w:val="TableContents"/>
              <w:bidi w:val="0"/>
              <w:spacing w:before="0" w:after="283"/>
              <w:jc w:val="both"/>
              <w:rPr/>
            </w:pPr>
            <w:r>
              <w:rPr/>
              <w:t xml:space="preserve">The </w:t>
            </w:r>
            <w:r>
              <w:rPr>
                <w:b/>
              </w:rPr>
              <w:t>Call Date</w:t>
            </w:r>
            <w:r>
              <w:rPr/>
              <w:t xml:space="preserve"> shall be not less than the date that is 15 days or more than the date that is 20 days after the Call Notice is delivered. The Call Notice shall state: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the number of Series A Shares that the Company shall redeem on the Call Date, provided always that where the Call Notice is in respect of only some and not all of the Series A Shares in issue, the Call Notice shall also specify the adjusted number of Series A Shares that the Company shall redeem from each Series A Shareholder (such adjusted number to represent each Series A Shareholder’s pro rata proportion of the total number of Series A Shares in issue, as a proportion of the total number of Series A Shares the subject of the Call Notice);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8"/>
        <w:gridCol w:w="9812"/>
      </w:tblGrid>
      <w:tr>
        <w:trPr/>
        <w:tc>
          <w:tcPr>
            <w:tcW w:w="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(b)</w:t>
            </w:r>
          </w:p>
        </w:tc>
        <w:tc>
          <w:tcPr>
            <w:tcW w:w="9812" w:type="dxa"/>
            <w:tcBorders/>
            <w:vAlign w:val="center"/>
          </w:tcPr>
          <w:p>
            <w:pPr>
              <w:pStyle w:val="TableContents"/>
              <w:bidi w:val="0"/>
              <w:spacing w:before="0" w:after="283"/>
              <w:jc w:val="both"/>
              <w:rPr/>
            </w:pPr>
            <w:r>
              <w:rPr/>
              <w:t>the Call Date and the redemption price calculated in accordance with Article 9.14;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for Series A Shares in certificated form, that the Series A Shareholder is to surrender to the Company, in the manner and at the place designated, his, her or its certificate or certificates representing the Series A Shares to be redeemed (or deliver an indemnity for lost certificate in a form acceptable to the Board, in respect of any lost certificate(s)).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9.16</w:t>
            </w:r>
          </w:p>
        </w:tc>
        <w:tc>
          <w:tcPr>
            <w:tcW w:w="9728" w:type="dxa"/>
            <w:tcBorders/>
            <w:vAlign w:val="center"/>
          </w:tcPr>
          <w:p>
            <w:pPr>
              <w:pStyle w:val="TableContents"/>
              <w:bidi w:val="0"/>
              <w:spacing w:before="0" w:after="283"/>
              <w:jc w:val="both"/>
              <w:rPr/>
            </w:pPr>
            <w:r>
              <w:rPr/>
              <w:t>On each Call Date, the Company shall redeem the number of Series A Shares set out in the Call Notice and the relevant holder of Series A Shares shall deliver to the Company at its registered office the certificate(s) for the Series A Shares to be redeemed (or an indemnity for lost certificate in a form acceptable to the Board, in respect of any lost certificate(s)) and on such delivery (and against the receipt by the holder of Series A Shares for the redemption moneys payable in respect of his Series A Shares) the Company shall pay each holder of Series A Shares (or, in the case of joint holders, to the holder of Series A Shares whose name stands first in the register of Shareholders in respect of those Series A Shares) the consideration described in Article 9.14 for each Series A Share being redeemed.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9.17</w:t>
            </w:r>
          </w:p>
        </w:tc>
        <w:tc>
          <w:tcPr>
            <w:tcW w:w="9728" w:type="dxa"/>
            <w:tcBorders/>
            <w:vAlign w:val="center"/>
          </w:tcPr>
          <w:p>
            <w:pPr>
              <w:pStyle w:val="TableContents"/>
              <w:bidi w:val="0"/>
              <w:spacing w:before="0" w:after="283"/>
              <w:jc w:val="both"/>
              <w:rPr/>
            </w:pPr>
            <w:r>
              <w:rPr/>
              <w:t>The Company shall, in the case of a redemption in full, cancel the share certificate of the holder of Series A Shares concerned, and, in the case of a redemption of part of the holding of Series A Shares included in a certificate, either (a) note the amount and date of redemption on the original certificate; or (b) cancel the original certificate and without charge issue a new certificate to the holder for the balance of the Series A Shares not redeemed on that occasion.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9.18</w:t>
            </w:r>
          </w:p>
        </w:tc>
        <w:tc>
          <w:tcPr>
            <w:tcW w:w="9728" w:type="dxa"/>
            <w:tcBorders/>
            <w:vAlign w:val="center"/>
          </w:tcPr>
          <w:p>
            <w:pPr>
              <w:pStyle w:val="TableContents"/>
              <w:bidi w:val="0"/>
              <w:spacing w:before="0" w:after="283"/>
              <w:jc w:val="both"/>
              <w:rPr/>
            </w:pPr>
            <w:r>
              <w:rPr/>
              <w:t>Following receipt, or in connection with the delivery (as the case may be), by the Company of a Call Notice, the Company shall take all necessary steps to the extent permitted by Applicable Law to facilitate the creation of sufficient profits available for distribution in order to complete the redemption of the Series A Shares pursuant to the Call Notice as soon as reasonably practicable.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9.19</w:t>
            </w:r>
          </w:p>
        </w:tc>
        <w:tc>
          <w:tcPr>
            <w:tcW w:w="9728" w:type="dxa"/>
            <w:tcBorders/>
            <w:vAlign w:val="center"/>
          </w:tcPr>
          <w:p>
            <w:pPr>
              <w:pStyle w:val="TableContents"/>
              <w:bidi w:val="0"/>
              <w:spacing w:before="0" w:after="283"/>
              <w:jc w:val="both"/>
              <w:rPr/>
            </w:pPr>
            <w:r>
              <w:rPr/>
              <w:t>If, having complied with its obligations in Article 9.18, on any due date for redemption of Series A Shares the Company is prohibited by law from redeeming all or any of the Series A Shares then due to be redeemed, it shall on the due date, redeem that number of the Series A Shares as it may then lawfully redeem, and if there is more than one holder whose Series A Shares are due to be redeemed then the Series A Shares shall be redeemed in proportion as nearly as may be to their existing holdings of Series A Shares and the Company shall redeem the balance of those shares as soon as reasonably practicable after it is not so prohibited and, for so long as the prohibition remains and any Series A Shares have not been redeemed (and notwithstanding any other provisions of these Articles) the Preference Dividend shall continue to accrue up to the date of redemption and the Company shall not pay any dividend or otherwise make any distribution of capital or otherwise (except in the ordinary course of business) decrease its profits available for distribution. If the Company fails to make any partial redemption of Series A Shares on any due date for redemption, then subsequent redemptions of Series A Shares shall be deemed to be of those Series A Shares which first became due for redemption; and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9.20</w:t>
            </w:r>
          </w:p>
        </w:tc>
        <w:tc>
          <w:tcPr>
            <w:tcW w:w="9728" w:type="dxa"/>
            <w:tcBorders/>
            <w:vAlign w:val="center"/>
          </w:tcPr>
          <w:p>
            <w:pPr>
              <w:pStyle w:val="TableContents"/>
              <w:bidi w:val="0"/>
              <w:spacing w:before="0" w:after="283"/>
              <w:jc w:val="both"/>
              <w:rPr/>
            </w:pPr>
            <w:r>
              <w:rPr/>
              <w:t>Subject to Articles 9.14 to 9.18, the Company authorises the Board to determine the manner or any of the terms of any redemption or purchase to the extent permitted by the Act.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9.21</w:t>
            </w:r>
          </w:p>
        </w:tc>
        <w:tc>
          <w:tcPr>
            <w:tcW w:w="9728" w:type="dxa"/>
            <w:tcBorders/>
            <w:vAlign w:val="center"/>
          </w:tcPr>
          <w:p>
            <w:pPr>
              <w:pStyle w:val="TableContents"/>
              <w:bidi w:val="0"/>
              <w:spacing w:before="0" w:after="283"/>
              <w:jc w:val="both"/>
              <w:rPr/>
            </w:pPr>
            <w:r>
              <w:rPr/>
              <w:t>To the extent permitted by the Act, the Company may accept the surrender for no consideration of any fully paid share (including a redeemable share) unless, as a result of the surrender, there would no longer be any issued shares of the company other than shares held as treasury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9.22</w:t>
            </w:r>
          </w:p>
        </w:tc>
        <w:tc>
          <w:tcPr>
            <w:tcW w:w="9728" w:type="dxa"/>
            <w:tcBorders/>
            <w:vAlign w:val="center"/>
          </w:tcPr>
          <w:p>
            <w:pPr>
              <w:pStyle w:val="TableContents"/>
              <w:bidi w:val="0"/>
              <w:spacing w:before="0" w:after="283"/>
              <w:jc w:val="both"/>
              <w:rPr/>
            </w:pPr>
            <w:r>
              <w:rPr/>
              <w:t>For the avoidance of doubt, until a Series A Share has been redeemed in full by the Company pursuant to this Article 9, such Series A Shares may be converted, at any time and from time to time, in whole or in part, by any Series A Shareholder into Ordinary Shares pursuant to Article 10.</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818"/>
        <w:gridCol w:w="9268"/>
      </w:tblGrid>
      <w:tr>
        <w:trPr/>
        <w:tc>
          <w:tcPr>
            <w:tcW w:w="11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10</w:t>
            </w:r>
          </w:p>
        </w:tc>
        <w:tc>
          <w:tcPr>
            <w:tcW w:w="9268" w:type="dxa"/>
            <w:tcBorders/>
            <w:vAlign w:val="center"/>
          </w:tcPr>
          <w:p>
            <w:pPr>
              <w:pStyle w:val="TableContents"/>
              <w:bidi w:val="0"/>
              <w:spacing w:before="0" w:after="283"/>
              <w:jc w:val="both"/>
              <w:rPr/>
            </w:pPr>
            <w:r>
              <w:rPr/>
              <w:t>Conversion of Series A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 xml:space="preserve">Each fully paid Series A Share shall be convertible, at any time and from time to time at the option of the holder thereof, into that number of whole Ordinary Shares (subject to the limitations set forth in Article 10.3) determined by dividing the Accrued Value of such Series A Share by the Conversion Price. Holders shall effect conversions by providing the Company with the form of conversion notice attached hereto as </w:t>
            </w:r>
            <w:r>
              <w:rPr>
                <w:u w:val="single"/>
              </w:rPr>
              <w:t>Annex A</w:t>
            </w:r>
            <w:r>
              <w:rPr/>
              <w:t xml:space="preserve"> (a </w:t>
            </w:r>
            <w:r>
              <w:rPr>
                <w:b/>
              </w:rPr>
              <w:t>Notice of Conversion</w:t>
            </w:r>
            <w:r>
              <w:rPr/>
              <w:t xml:space="preserve">), unless the Company directs holders that the Notice of Conversion shall be delivered to the Company’s transfer agent. Each Notice of Conversion shall identify the Series A Shareholders electing to convert some, or all, of their Series A Shares (the </w:t>
            </w:r>
            <w:r>
              <w:rPr>
                <w:b/>
              </w:rPr>
              <w:t>Converting Shareholder(s)</w:t>
            </w:r>
            <w:r>
              <w:rPr/>
              <w:t xml:space="preserve">), specify the number of Series A Shares to be converted by the Converting Shareholder(s), the number of Series A Shares owned by the Converting Shareholder(s) prior to the conversion at issue, the number of Series A Shares owned by the Converting Shareholder(s) subsequent to the conversion at issue and the date on which such conversion is to be effected, which date may not be prior to the date the by the Converting Shareholder(s) deliver by e-mail attachment or by a nationally recognized overnight courier service such Notice of Conversion to the Company (such date, the </w:t>
            </w:r>
            <w:r>
              <w:rPr>
                <w:b/>
              </w:rPr>
              <w:t>Conversion Date</w:t>
            </w:r>
            <w:r>
              <w:rPr/>
              <w:t xml:space="preserve">). If no Conversion Date is specified in a Notice of Conversion, the Conversion Date shall be the date that such Notice of Conversion to the Company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Series A Shares, a holder shall not be required to surrender the certificate(s) representing the Series A Shares to the Company unless all of the Series A Shares represented thereby are so converted, in which case such holder shall deliver the certificate representing such Series A Shares promptly following the Conversion Date at issue (or an indemnity for a lost certificate in a form acceptable to the Board). Series A Shares converted into Ordinary Shares or redeemed in accordance with the terms hereof shall be canceled and shall not be reissued, and all rights (other than the right to receive the Conversion Shares) with respect to such shares will terminate. The Company shall, in the case of all Series A Shares included in a certificate, cancel the certificate so delivered and, in the case of a conversion of part of the holding of Series A Shares included in a certificate, either (a) note the amount and date of conversion on the original certificate, or (b) cancel the original certificate and without charge issue a new certificate to the holder for the balance of the Series A Shares not converted. Notwithstanding the foregoing, the Register of Members shall serve as the </w:t>
            </w:r>
            <w:r>
              <w:rPr>
                <w:i/>
              </w:rPr>
              <w:t>prima facie</w:t>
            </w:r>
            <w:r>
              <w:rPr/>
              <w:t xml:space="preserve"> record of issued and outstanding Series A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 xml:space="preserve">Not later than the number of Trading Days comprising the Standard Settlement Period (as defined below) after each Conversion Date (the </w:t>
            </w:r>
            <w:r>
              <w:rPr>
                <w:b/>
              </w:rPr>
              <w:t>Share Delivery Date</w:t>
            </w:r>
            <w:r>
              <w:rPr/>
              <w:t xml:space="preserve">), the Company shall deliver, or cause to be delivered, to the Converting Shareholder(s) the number of Conversion Shares being acquired upon the conversion of the relevant Series A Shares, which on or after the earlier of (i) the one year anniversary of the Date of Adoption or (ii) the Effective Date, shall be free of restrictive legends and trading restrictions (other than those which may then be required by any Purchase Agreement or any other applicable lock-up agreement or similar agreement). On or after the earlier of (i) the one year anniversary of the Date of Adoption or (ii) the Effective Date, the Company shall deliver the Conversion Shares required to be delivered by the Company under this Article 10.2 electronically through the Depository Trust Company or another established clearing corporation performing similar functions. As used herein, </w:t>
            </w:r>
            <w:r>
              <w:rPr>
                <w:b/>
              </w:rPr>
              <w:t>Standard Settlement Period</w:t>
            </w:r>
            <w:r>
              <w:rPr/>
              <w:t xml:space="preserve"> means the standard settlement period, expressed in a number of Trading Days, on the Designated Stock Exchange with respect to the Ordinary Shares as in effect on the date of delivery of the Notice of Conversion.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If, in the case of any Notice of Conversion, such Conversion Shares are not delivered to or as reasonably directed by the Converting Shareholder(s) by the Share Delivery Date, the Converting Shareholder(s) shall be entitled to elect by written notice to the Company at any time on or before its receipt of such Conversion Shares, to rescind such conversion, in which event the Company shall promptly return to the relevant Converting Shareholder(s) any original Series A Share certificate delivered to the Company and the relevant Converting Shareholder(s) shall promptly return to the Company the Conversion Shares issued to such Converting Shareholder(s) pursuant to the rescinded Notice of Conversion.</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951" w:type="dxa"/>
            <w:tcBorders/>
            <w:vAlign w:val="center"/>
          </w:tcPr>
          <w:p>
            <w:pPr>
              <w:pStyle w:val="TableContents"/>
              <w:bidi w:val="0"/>
              <w:spacing w:before="0" w:after="283"/>
              <w:jc w:val="both"/>
              <w:rPr/>
            </w:pPr>
            <w:r>
              <w:rPr/>
              <w:t xml:space="preserve">The Company’s obligation to issue and deliver the Conversion Shares upon conversion of the Series A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w:t>
            </w:r>
            <w:r>
              <w:rPr>
                <w:i/>
                <w:u w:val="single"/>
              </w:rPr>
              <w:t>provided</w:t>
            </w:r>
            <w:r>
              <w:rPr/>
              <w:t xml:space="preserve">, </w:t>
            </w:r>
            <w:r>
              <w:rPr>
                <w:i/>
                <w:u w:val="single"/>
              </w:rPr>
              <w:t>however</w:t>
            </w:r>
            <w:r>
              <w:rPr/>
              <w:t>, that such delivery shall not operate as a waiver by the Company of any such action that the Company may have against such holder. In the event a holder shall elect to convert any or all of the Accrued Value of its Series A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Series A Shares of such holder shall have been sought and obtained, and the Company posts a surety bond for the benefit of such holder in the amount of 150% of the Accrued Value of Series A Shares which is subject to the injunction, which bond shall remain in effect until the completion of arbitration/litigation of the underlying dispute and the proceeds of which shall be payable to such holder to the extent it obtains judgment. In the absence of such injunction, the Company shall issue Conversion Shares and, if applicable, cash, upon a properly noticed conversion. If the Company fails to deliver to a holder such Conversion Shares pursuant to Article 10.2(a) by the 10</w:t>
            </w:r>
            <w:r>
              <w:rPr>
                <w:position w:val="8"/>
                <w:sz w:val="19"/>
              </w:rPr>
              <w:t>th</w:t>
            </w:r>
            <w:r>
              <w:rPr/>
              <w:t xml:space="preserve"> Trading Day after the Share Delivery Date applicable to such conversion, the Company shall pay to such holder, in cash, as liquidated damages and not as a penalty, for each $5,000 of Accrued Value of Series A Shares being converted, $25 per Trading Day (increasing to $50 per Trading Day on the third Trading Day and increasing to $100 per Trading Day on the sixth Trading Day after such damages begin to accrue) for each Trading Day after the 10</w:t>
            </w:r>
            <w:r>
              <w:rPr>
                <w:position w:val="8"/>
                <w:sz w:val="19"/>
              </w:rPr>
              <w:t>th</w:t>
            </w:r>
            <w:r>
              <w:rPr/>
              <w:t xml:space="preserve"> Trading Day after the Share Delivery Date until such Conversion Shares are delivered or holder rescinds such conversion. Nothing herein shall limit a holder’s right to pursue actual damages for the Company’s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Series A Shareholder from seeking to enforce damages pursuant to any other Article hereof or under Applicable Law.</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(c)</w:t>
            </w:r>
          </w:p>
        </w:tc>
        <w:tc>
          <w:tcPr>
            <w:tcW w:w="9967" w:type="dxa"/>
            <w:tcBorders/>
            <w:vAlign w:val="center"/>
          </w:tcPr>
          <w:p>
            <w:pPr>
              <w:pStyle w:val="TableContents"/>
              <w:bidi w:val="0"/>
              <w:spacing w:before="0" w:after="283"/>
              <w:jc w:val="both"/>
              <w:rPr/>
            </w:pPr>
            <w:r>
              <w:rPr/>
              <w:t xml:space="preserve">In addition to any other rights available to the holder, if the Company fails for any reason unrelated to the actions of the holder or its Affiliates to deliver to a Converting Shareholder the applicable Conversion Shares by the Share Delivery Date pursuant to Article 10.2(a) and if after such Share Delivery Date such Converting Shareholder is required by its brokerage firm to purchase (in an open market transaction or otherwise), or the Converting Shareholder’s brokerage firm otherwise purchases, Ordinary Shares to deliver in satisfaction of a sale by such Converting Shareholder of the Conversion Shares which such Converting Shareholder was entitled to receive upon the conversion relating to such Share Delivery Date (a </w:t>
            </w:r>
            <w:r>
              <w:rPr>
                <w:b/>
              </w:rPr>
              <w:t>Buy-In</w:t>
            </w:r>
            <w:r>
              <w:rPr/>
              <w:t>), then the Company shall (A) pay in cash to such Converting Shareholder (in addition to any other remedies available to or elected by such Converting Shareholder) the amount, if any, by which (x) such Converting Shareholder’s total purchase price (including any brokerage commissions) for the Ordinary Shares so purchased exceeds (y) the product of (1) the aggregate number of Ordinary Shares that such Converting Shareholder was entitled to receive from the conversion at issue multiplied by (2) the actual sale price at which the sell order giving rise to such purchase obligation was executed (excluding any brokerage commissions) and (B) at the option of such Converting Shareholder, either reissue (if surrendered) the Converting Shares equal to the number of Series A Shares submitted for conversion (in which case, such conversion shall be deemed rescinded) or deliver to such Converting Shareholder the number of Ordinary Shares that would have been issued if the Company had timely complied with its delivery requirements under Article 10.2(a). For example, if a Converting Shareholder purchases Ordinary Shares having a total purchase price of $11,000 to cover a Buy-In with respect to an attempted conversion of Series A Shares with respect to which the actual sale price of the Conversion Shares (including any applicable brokerage commissions) giving rise to such purchase obligation was a total of $10,000, under clause (A) of the immediately preceding sentence, the Company shall be required to pay such Converting Shareholder $1,000. The Converting Shareholder shall provide the Company written notice indicating the amounts payable to such Converting Shareholder in respect of the Buy-In and, upon the request of the Company, evidence of the amount of such loss. If a Converting Shareholder purchases Ordinary Shares having a total purchase price of $9,000 to cover a Buy-In with respect to an attempted conversion of Series A Shares with respect to which the actual sale price of the Conversion Shares (including any applicable brokerage commissions) giving rise to such purchase obligation was a total of $10,000, under clause (A) of the preceding sentence, the Company shall not be required to pay Converting Shareholder any amount. For the avoidance of doubt, in the event of a Buy-In, the Converting Shareholder shall use commercially reasonable efforts to purchase shares at the lowest available price, paying the lowest reasonably available brokerage commission. The Converting Shareholder shall provide the Company written notice indicating the amounts payable to such Converting Shareholder in respect of the Buy-In and evidence of the amount of such loss. Nothing herein shall limit a Converting Shareholder’s right to pursue any other remedies available to it hereunder, at law or in equity including, without limitation, a decree of specific performance and/or injunctive relief with respect to the Company’s failure to timely deliver Conversion Shares upon conversion of the Series A Shares as required pursuant to the terms hereof.</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The Company covenants that it will at all times reserve and keep available out of its authorized and unissued Ordinary Shares for the sole purpose of issuance upon conversion of Series A Shares as herein provided, free from preemptive rights or any other actual contingent purchase rights of persons other than the Series A Shareholders (and the other Series A Shareholders), not less than such aggregate number of Ordinary Shares as shall (subject to the terms and conditions set forth in the Purchase Agreement) be issuable (taking into account the adjustments and restrictions of Article 11) upon the conversion of the then outstanding Series A Shares (assuming for such purpose a Conversion Price equal to the Floor Price and any such conversions are made without regard to any limitations on conversion set forth herein). The Company covenants that all Ordinary Shares that shall be so issuable shall, upon issue, be duly authorized, validly issued, fully paid and nonassessable and, if a Registration Statement is then effective under the Securities Act, shall be registered for public resale in accordance with such Registration Statement (subject to such Series A Shareholder’s compliance with its obligations under the Registration Rights Agreement).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No fractional shares or scrip representing fractional shares shall be issued upon the conversion of the Series A Shares. As to any fraction of a share which a Series A Shareholder would otherwise be entitled to purchase upon such conversion, the Company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Series A Shareholder from converting fractional Series A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pPr>
            <w:r>
              <w:rPr/>
              <w:t xml:space="preserve">The issuance of Conversion Shares on conversion of Series A Shares shall be made without charge to any Series A Shareholder for any documentary stamp or similar taxes that may be payable in respect of the issue or delivery of such Conversion Shares, </w:t>
            </w:r>
            <w:r>
              <w:rPr>
                <w:i/>
                <w:u w:val="single"/>
              </w:rPr>
              <w:t>provided that</w:t>
            </w:r>
            <w:r>
              <w:rPr/>
              <w:t xml:space="preserve"> the Company shall not be required to pay any tax that may be payable in respect of any transfer involved in the issuance and delivery of any such Conversion Shares upon conversion in a name other than that of the Series A Shareholders of such Series A Shares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 xml:space="preserve">A Series A Shareholder may notify the Company in writing in the event it elects to be subject to the provisions contained in this Article 10.3; however, no Series A Shareholder shall be subject to this Article 10.3 unless he, she or it makes such election. If the election is made, (i) the Company shall not effect any conversion of Series A Shares, and such Series A Shareholder shall not have the right to convert all or any portion of the Series A Shares, to the extent that, after giving effect to the conversion set forth on the applicable Notice of Conversion, such Series A Shareholder (together with such Series A Shareholder’s Affiliates, and any persons acting as a group together with such Series A Shareholder or any of such Series A Shareholder’s Affiliates (such persons, </w:t>
            </w:r>
            <w:r>
              <w:rPr>
                <w:b/>
              </w:rPr>
              <w:t>Attribution Parties</w:t>
            </w:r>
            <w:r>
              <w:rPr/>
              <w:t xml:space="preserve">)) would beneficially own in excess of 4.9%, 9.9%, 19.9% of the Company’s Ordinary Shares (or such other amount as a Series A Shareholder may specify) (the </w:t>
            </w:r>
            <w:r>
              <w:rPr>
                <w:b/>
              </w:rPr>
              <w:t>Beneficial Ownership Limitation</w:t>
            </w:r>
            <w:r>
              <w:rPr/>
              <w:t xml:space="preserve">) and (ii) the Company shall not permit the Series A Shareholder to vote, and such Series A Shareholder shall not have the right to vote pursuant to </w:t>
            </w:r>
            <w:r>
              <w:rPr>
                <w:u w:val="single"/>
              </w:rPr>
              <w:t>these Articles</w:t>
            </w:r>
            <w:r>
              <w:rPr/>
              <w:t>, all or any portion of the Series A Shares that such Series A Shareholder is not permitted to convert pursuant to the preceding clause (i) (provided, however, that such Series A Shareholder shall retain the right to vote pursuant to Article 40 to the extent that retaining such right does not cause such Series A Shareholder to be deemed to beneficially own Conversion Shares within the meaning of Rule 13d-3 promulgated under the Exchange Act). For purposes of the foregoing sentence, the number of Ordinary Shares beneficially owned by such Series A Shareholder and its Affiliates and Attribution Parties shall include the number of Ordinary Shares issuable upon conversion of Series A Shares with respect to which such determination is being made, but shall exclude the number of Ordinary Shares which are issuable upon (i) conversion of the remaining, unconverted Accrued Value of Series A Shares beneficially owned by such Series A Shareholder or any of its Affiliates or Attribution Parties and (ii) exercise or conversion of the unexercised or unconverted portion of any other securities of the Company subject to a limitation on conversion or exercise analogous to the limitation contained herein beneficially owned by such Shareholder or any of its Affiliates or Attribution Parties. Except as set forth in the preceding sentence, for purposes of this Article 10.3, beneficial ownership shall be calculated in accordance with Section 13(d) of the Exchange Act and the rules and regulations promulgated thereunder. To the extent that the limitation contained in this Article 10.3 applies, the determination of whether the Series A Shares are convertible (in relation to other securities owned by such Series A Shareholder together with any Affiliates and Attribution Parties) and of how many Series A Shares are convertible shall be in the sole discretion of such Series A Shareholder, and the submission of a Notice of Conversion shall be deemed to be such Series A Shareholder’s determination of whether the Series A Shares may be converted (in relation to other securities owned by such Series A Shareholder together with any Affiliates and Attribution Parties) and how many Series A Shares are convertible, in each case subject to the Beneficial Ownership Limitation. To ensure compliance with this restriction, each Series A Shareholder will be deemed to represent to the Company each time it delivers a Notice of Conversion that such Notice of Conversion has not violated the restrictions set forth in this Article 10.3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Series A Shareholder shall provide the Company with any information reasonably requested by the Company in connection with this Beneficial Ownership Limitation and the provisions related thereto, in each case with respect to the Company’s reporting obligations pursuant to the Securities Act, the Exchange Act, or other federal or state securities regulations. For purposes of this Article 10.3, in determining the number of outstanding Ordinary Shares, a Series A Shareholder may rely on the number of outstanding Ordinary Shares as stated in the most recent of the following: (i) the Company’s most recent periodic or annual report filed with the Commission, as the case may be, (ii) a more recent public announcement by the Company or (iii) a more recent written notice by the Company or the transfer agent setting forth the number of Ordinary Shares outstanding. Upon the written or oral request (which may be via email) of a Series A Shareholder, the Company shall within two Trading Days confirm in writing to such Series A Shareholder the number of Ordinary Shares then outstanding. In any case, the number of outstanding Ordinary Shares shall be determined after giving effect to the conversion or exercise of securities of the Company, including the Series A Shares, by such Series A Shareholder or its Affiliates or Attribution Parties since the date as of which such number of outstanding Ordinary Shares was reported. By written notice to the Company, a Series A Shareholder may from time to time increase or decrease the Beneficial Ownership Limitation applicable to such Series A Shareholder, provided, however, that any such increase in the Beneficial Ownership Limitation will not be effective until the sixty-first (61</w:t>
            </w:r>
            <w:r>
              <w:rPr>
                <w:position w:val="7"/>
                <w:sz w:val="16"/>
                <w:sz w:val="20"/>
              </w:rPr>
              <w:t>st</w:t>
            </w:r>
            <w:r>
              <w:rPr/>
              <w:t>) day after such notice is delivered to the Company. The provisions of this Article 10.3 shall be construed and implemented in a manner otherwise than in strict conformity with the terms of this Article 10.3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Series A Shareholder.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786"/>
        <w:gridCol w:w="9305"/>
      </w:tblGrid>
      <w:tr>
        <w:trPr/>
        <w:tc>
          <w:tcPr>
            <w:tcW w:w="11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11</w:t>
            </w:r>
          </w:p>
        </w:tc>
        <w:tc>
          <w:tcPr>
            <w:tcW w:w="9305" w:type="dxa"/>
            <w:tcBorders/>
            <w:vAlign w:val="center"/>
          </w:tcPr>
          <w:p>
            <w:pPr>
              <w:pStyle w:val="TableContents"/>
              <w:bidi w:val="0"/>
              <w:spacing w:before="0" w:after="283"/>
              <w:jc w:val="both"/>
              <w:rPr/>
            </w:pPr>
            <w:r>
              <w:rPr/>
              <w:t>Adjustment of Conversion Price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15"/>
        <w:gridCol w:w="9538"/>
      </w:tblGrid>
      <w:tr>
        <w:trPr/>
        <w:tc>
          <w:tcPr>
            <w:tcW w:w="5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11.1</w:t>
            </w:r>
          </w:p>
        </w:tc>
        <w:tc>
          <w:tcPr>
            <w:tcW w:w="9538" w:type="dxa"/>
            <w:tcBorders/>
            <w:vAlign w:val="center"/>
          </w:tcPr>
          <w:p>
            <w:pPr>
              <w:pStyle w:val="TableContents"/>
              <w:bidi w:val="0"/>
              <w:spacing w:before="0" w:after="283"/>
              <w:jc w:val="both"/>
              <w:rPr/>
            </w:pPr>
            <w:r>
              <w:rPr/>
              <w:t>For the purposes of this Article 11, the following definitions shall apply: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b/>
              </w:rPr>
              <w:t>Convertible Securities</w:t>
            </w:r>
            <w:r>
              <w:rPr/>
              <w:t xml:space="preserve"> means any Shares or securities (other than Options) directly or indirectly convertible into or exercisable or exchangeable for, or which otherwise entitles the holder thereof to acquire, any Ordinary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b/>
              </w:rPr>
              <w:t>Exempt Issuance</w:t>
            </w:r>
            <w:r>
              <w:rPr/>
              <w:t xml:space="preserve"> means the issuance of (a) any securities of the Company to employees, officers or directors, consultants, contractors, vendors or other agents of the Company pursuant to any share or option plan duly adopted for such purpose, by a majority of the non-employee members of the Board or a majority of the members of a committee of non-employee directors established for such purpose for services rendered to the Company, (b) securities upon the exercise or exchange of or conversion of any securities issued pursuant to the Purchase Agreements or the Business Combination Agreement and/or other securities exercisable or exchangeable for or convertible into Ordinary Shares issued and outstanding on the Date of Adoption, provided that such securities have not been amended since the Date of Adoption to increase the number of such securities or to decrease the exercise price, exchange price or conversion price of such securities (other than in connection with share splits or combinations and automatic adjustments to such terms pursuant to anti-dilution or similar provisions of such securities which are not more favorable to the holder thereof than the anti-dilution and similar provisions in favor of the Series A Holders set forth herein) or to extend the term of such securities, (c) the Conversion Shares, and (d) securities issued pursuant to any merger, acquisition or strategic transaction or partnership approved by a majority of the directors of the Company, provided that (i) such securities are issued as “restricted securities” (as defined in Rule 144) or are issued pursuant to an effective registration statement pursuant to the Securities Act and (ii)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any such Exempt Issuance shall not include a transaction in which the Company is issuing securities (i) primarily for the purpose of raising capital, including an at-the-market offering, or (ii) to an entity whose primary business is investing in securities.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283"/>
              <w:jc w:val="both"/>
              <w:rPr/>
            </w:pPr>
            <w:r>
              <w:rPr>
                <w:b/>
              </w:rPr>
              <w:t>Options</w:t>
            </w:r>
            <w:r>
              <w:rPr/>
              <w:t xml:space="preserve"> means rights, options or warrants to subscribe for, purchase or otherwise acquire either Ordinary Shares or Convertible Securities; and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283"/>
              <w:jc w:val="both"/>
              <w:rPr/>
            </w:pPr>
            <w:r>
              <w:rPr>
                <w:b/>
              </w:rPr>
              <w:t>Option Value</w:t>
            </w:r>
            <w:r>
              <w:rPr/>
              <w:t xml:space="preserve"> means the value of an Option based on the Black-Scholes Option Pricing model obtained from the “OV” function on Bloomberg determined as of (A) the Trading Day prior to the public announcement of the issuance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w:t>
            </w:r>
            <w:r>
              <w:rPr>
                <w:b/>
                <w:u w:val="single"/>
              </w:rPr>
              <w:t>greater</w:t>
            </w:r>
            <w:r>
              <w:rPr/>
              <w:t xml:space="preserve">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Ordinary Shares during the period beginning on the Trading Day prior to the execution of definitive documentation relating to the issuance of the applicable Option and ending on (A) the Trading Day immediately following the public announcement of such issuance, if the issuance of such Option is publicly announced or (B) the Trading Day immediately following the issuance of the applicable Option if the issuance of such Option is not publicly announced, (iv) a zero cost of borrow and (v) a 360 day annualization factor, </w:t>
            </w:r>
            <w:r>
              <w:rPr>
                <w:i/>
                <w:u w:val="single"/>
              </w:rPr>
              <w:t>provided</w:t>
            </w:r>
            <w:r>
              <w:rPr/>
              <w:t xml:space="preserve">, </w:t>
            </w:r>
            <w:r>
              <w:rPr>
                <w:i/>
                <w:u w:val="single"/>
              </w:rPr>
              <w:t>however</w:t>
            </w:r>
            <w:r>
              <w:rPr/>
              <w:t>, in case any Option is issued in connection with the issue or sale of other securities of the Company, together comprising one integrated transaction, in no event shall the Option Value exceed a fraction of the aggregate consideration received (excluding the minimum aggregate amount of additional consideration (as set forth in the instruments relating thereto, without regard to any provision contained therein for a subsequent adjustment of such consideration) payable to the Company upon the exercise of such Options, or in the case of Options for Convertible Securities, the exercise of such Options for Convertible Securities and the conversion or exchange of such Convertible Securities) equal to (1) the number of Ordinary Shares underlying such Option divided by (2) the total number of Ordinary Shares issued or issuable in the integrated transaction (including the number of shares underlying such Option).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11"/>
        <w:gridCol w:w="9624"/>
      </w:tblGrid>
      <w:tr>
        <w:trPr/>
        <w:tc>
          <w:tcPr>
            <w:tcW w:w="7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(e)</w:t>
            </w:r>
          </w:p>
        </w:tc>
        <w:tc>
          <w:tcPr>
            <w:tcW w:w="9624" w:type="dxa"/>
            <w:tcBorders/>
            <w:vAlign w:val="center"/>
          </w:tcPr>
          <w:p>
            <w:pPr>
              <w:pStyle w:val="TableContents"/>
              <w:bidi w:val="0"/>
              <w:spacing w:before="0" w:after="283"/>
              <w:jc w:val="both"/>
              <w:rPr/>
            </w:pPr>
            <w:r>
              <w:rPr>
                <w:b/>
              </w:rPr>
              <w:t>Series A Issue Date</w:t>
            </w:r>
            <w:r>
              <w:rPr/>
              <w:t xml:space="preserve"> shall mean the Date of Adoption.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u w:val="single"/>
              </w:rPr>
              <w:t>Adjustment of Conversion Price upon issuance of Ordinary Shares</w:t>
            </w:r>
            <w:r>
              <w:rPr/>
              <w:t xml:space="preserve">. In the event the Company shall at any time after the Series A Issue Date issue or sell, or in accordance with this Article 11.2 is deemed to have issued or sold, any Ordinary Shares (including the issuance or sale of Treasury Shares and any other Ordinary Shares owned or held by or for the account of the Company, but excluding Ordinary Shares issued or sold, or deemed to have been issued or sold, by the Company in connection with any Exempt Issuance) in issuances and sales conducted for the purpose of raising capital by the Company for a consideration per share (the </w:t>
            </w:r>
            <w:r>
              <w:rPr>
                <w:b/>
              </w:rPr>
              <w:t>New Issuance Price</w:t>
            </w:r>
            <w:r>
              <w:rPr/>
              <w:t xml:space="preserve">) less than the lesser of (x) $10.00 (subject to Equitable Adjustment) and (y) the Conversion Price then in effect (each such issue, sale or deemed issuance or sale, a </w:t>
            </w:r>
            <w:r>
              <w:rPr>
                <w:b/>
              </w:rPr>
              <w:t>Dilutive Issuance</w:t>
            </w:r>
            <w:r>
              <w:rPr/>
              <w:t>), then, immediately after such Dilutive Issuance, the Conversion Price then in effect shall be reduced to an amount equal to the New Issuance Price, save that the Conversion Price shall at all times be equal to or greater than the par value of the Ordinary Shares. For all purposes of the foregoing (including, without limitation, determining the adjusted Conversion Price and the New Issuance Price under this Article 11.2), the following shall be applicable: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u w:val="single"/>
              </w:rPr>
              <w:t>Options and Convertible Securities</w:t>
            </w:r>
            <w:r>
              <w:rPr/>
              <w:t>. The consideration per share received by the Company for Ordinary Shares deemed to have been issued pursuant to Article 11.2, relating to Options and Convertible Securities, shall be determined by dividing:</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9938" w:type="dxa"/>
            <w:tcBorders/>
            <w:vAlign w:val="center"/>
          </w:tcPr>
          <w:p>
            <w:pPr>
              <w:pStyle w:val="TableContents"/>
              <w:bidi w:val="0"/>
              <w:spacing w:before="0" w:after="283"/>
              <w:jc w:val="both"/>
              <w:rPr/>
            </w:pPr>
            <w:r>
              <w:rPr/>
              <w:t>the maximum number of Ordinary Shares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821"/>
        <w:gridCol w:w="9277"/>
      </w:tblGrid>
      <w:tr>
        <w:trPr/>
        <w:tc>
          <w:tcPr>
            <w:tcW w:w="10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(b)</w:t>
            </w:r>
          </w:p>
        </w:tc>
        <w:tc>
          <w:tcPr>
            <w:tcW w:w="9277" w:type="dxa"/>
            <w:tcBorders/>
            <w:vAlign w:val="center"/>
          </w:tcPr>
          <w:p>
            <w:pPr>
              <w:pStyle w:val="TableContents"/>
              <w:bidi w:val="0"/>
              <w:spacing w:before="0" w:after="283"/>
              <w:jc w:val="both"/>
              <w:rPr/>
            </w:pPr>
            <w:r>
              <w:rPr>
                <w:u w:val="single"/>
              </w:rPr>
              <w:t>Deemed issue of Ordinary Shares</w:t>
            </w:r>
            <w:r>
              <w:rPr/>
              <w:t>.</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If the Company at any time or from time to time after the Series A Issue Date shall issue any Options or Convertible Securities or shall fix a record date for the determination of holders of any class of securities entitled to receive any such Options or Convertible Securities, then the maximum number of Ordinary Shares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Ordinary Shares issued as of the time of such issue or, in case such a record date shall have been fixed, as of the close of business on such record date.</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(ii)</w:t>
            </w:r>
          </w:p>
        </w:tc>
        <w:tc>
          <w:tcPr>
            <w:tcW w:w="9951" w:type="dxa"/>
            <w:tcBorders/>
            <w:vAlign w:val="center"/>
          </w:tcPr>
          <w:p>
            <w:pPr>
              <w:pStyle w:val="TableContents"/>
              <w:bidi w:val="0"/>
              <w:spacing w:before="0" w:after="283"/>
              <w:jc w:val="both"/>
              <w:rPr/>
            </w:pPr>
            <w:r>
              <w:rPr/>
              <w:t>If the terms of any Option or Convertible Security, the issuance of which resulted in an adjustment to the Conversion Price pursuant to the terms of Article 11.2, are revised as a result of an amendment to such terms or any other adjustment pursuant to the provisions of such Option or Convertible Security (but excluding (x) proportional changes in conversion or exercise prices, as applicable, in connection with Article 11.3 and Article 11.4, or (y) automatic adjustments to such terms pursuant to anti-dilution or similar provisions of such Option or Convertible Security which are not more favorable to the holder thereof than the anti-dilution and similar provisions set forth herein) to provide for either: (1) any increase or decrease in the number of Ordinary Shares issuable upon the exercise, conversion and/or exchange of any such Option or Convertible Security; or (2) any increase or decrease in the consideration payable to the Company upon such exercise, conversion and/or exchange, then, effective upon such increase or decrease becoming effective, the Conversion Price shall be readjusted to such Conversion Price as would have obtained had such revised terms been in effect upon the original date of issuance of such Option or Convertible Security. For purposes of this Article 11.2(b), if the terms of any Option or Convertible Security that was outstanding as of the date of first issuance of a Series A Share are increased or decreased in the manner described in the immediately preceding sentence, then such Option or Convertible Security and the Ordinary Shares deemed issuable upon exercise, conversion or exchange thereof shall be deemed to have been issued as of the date of such increase or decrease. Notwithstanding the foregoing, no readjustment pursuant to this Article 11.2(b)(ii) shall have the effect of increasing the Conversion Price by an amount which exceeds the lower of (i) the Conversion Price in effect immediately prior to the original adjustment made as a result of the issuance of such Option or Convertible Security, or (ii) the Conversion Price that would have resulted from any issuances of New Shares (other than deemed issuances of Ordinary Shares as a result of the issuance of such Option or Convertible Security) between the original adjustment date and such readjustment date.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690"/>
        <w:gridCol w:w="9420"/>
      </w:tblGrid>
      <w:tr>
        <w:trPr/>
        <w:tc>
          <w:tcPr>
            <w:tcW w:w="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pPr>
            <w:r>
              <w:rPr/>
              <w:t>(c)</w:t>
            </w:r>
          </w:p>
        </w:tc>
        <w:tc>
          <w:tcPr>
            <w:tcW w:w="9420" w:type="dxa"/>
            <w:tcBorders/>
            <w:vAlign w:val="center"/>
          </w:tcPr>
          <w:p>
            <w:pPr>
              <w:pStyle w:val="TableContents"/>
              <w:bidi w:val="0"/>
              <w:spacing w:before="0" w:after="283"/>
              <w:jc w:val="both"/>
              <w:rPr/>
            </w:pPr>
            <w:r>
              <w:rPr>
                <w:u w:val="single"/>
              </w:rPr>
              <w:t>Calculation of Consideration Received</w:t>
            </w:r>
            <w:r>
              <w:rPr/>
              <w:t>.</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In case one or more Option is issued in connection with the issue or sale of other securities of the Company, together comprising one integrated transaction, (x) each such Option will be deemed to have been issued for the Option Value of such Option and (y) the other securities issued or sold in such integrated transaction shall be deemed to have been issued or sold for the difference of (I) the aggregate consideration received by the Company less any consideration paid or payable by the Company pursuant to the terms of such other securities of the Company, less (II) the Option Value of each such Option.</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(ii)</w:t>
            </w:r>
          </w:p>
        </w:tc>
        <w:tc>
          <w:tcPr>
            <w:tcW w:w="9950" w:type="dxa"/>
            <w:tcBorders/>
            <w:vAlign w:val="center"/>
          </w:tcPr>
          <w:p>
            <w:pPr>
              <w:pStyle w:val="TableContents"/>
              <w:bidi w:val="0"/>
              <w:spacing w:before="0" w:after="283"/>
              <w:jc w:val="both"/>
              <w:rPr/>
            </w:pPr>
            <w:r>
              <w:rPr/>
              <w:t xml:space="preserve">If any Ordinary Shares, Options or Convertible Securities are issued or sold or deemed to have been issued or sold for cash, the consideration other than cash received therefor will be deemed to be the net amount received by the Company therefor. If any Ordinary Shares,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publicly traded securities on the date of receipt. If any Ordinary Shares,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Ordinary Shares, Options or Convertible Securities, as the case may be. The fair value of any consideration other than cash or publicly traded securities will be determined jointly by the Company and the Series A Majority. If such parties are unable to reach agreement within ten (10) days after the occurrence of an event requiring valuation (the </w:t>
            </w:r>
            <w:r>
              <w:rPr>
                <w:b/>
              </w:rPr>
              <w:t>Valuation Event</w:t>
            </w:r>
            <w:r>
              <w:rPr/>
              <w:t>), the fair value of such consideration will be determined within five (5) Business Days after the tenth (10th) day following the Valuation Event by an independent, reputable appraiser jointly selected by the Company and the Series A Majority. The determination of such appraiser shall be final and binding upon all parties absent manifest error and the reasonable fees and expenses of such appraiser shall be borne by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u w:val="single"/>
              </w:rPr>
              <w:t>Record Date</w:t>
            </w:r>
            <w:r>
              <w:rPr/>
              <w:t>. If the Company takes a record of the holders of Ordinary Shares for the purpose of entitling them (A) to receive a dividend or other distribution payable in Ordinary Shares, Options or in Convertible Securities or (B) to subscribe for or purchase Ordinary Shares, Options or Convertible Securities,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pPr>
            <w:r>
              <w:rPr>
                <w:u w:val="single"/>
              </w:rPr>
              <w:t>Expiration or Termination of Options or Convertible Securities</w:t>
            </w:r>
            <w:r>
              <w:rPr/>
              <w:t xml:space="preserve">. Upon the expiration or termination of any unexercised Option or unconverted or unexchanged Convertible Securities (or portion thereof) which resulted (either upon its original issuance or upon a revision of its terms) in an adjustment to the Conversion Price pursuant to the terms of </w:t>
            </w:r>
            <w:r>
              <w:rPr>
                <w:u w:val="single"/>
              </w:rPr>
              <w:t>Article 11.2</w:t>
            </w:r>
            <w:r>
              <w:rPr/>
              <w:t>, the Conversion Price shall be readjusted to such Conversion Price as would have obtained had such Option or Convertible Securities (or portion thereof) never been issued.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u w:val="single"/>
              </w:rPr>
              <w:t>Adjustment for share splits and combinations</w:t>
            </w:r>
            <w:r>
              <w:rPr/>
              <w:t>. If the Company shall at any time or from time to time after the Series A Issue Date effect a subdivision of the outstanding Ordinary Shares, the Conversion Price in effect immediately before that subdivision shall be proportionately decreased so that the number of Ordinary Shares issuable on conversion of each Series A Share shall be increased in proportion to such increase in the aggregate number of Ordinary Shares outstanding. If the Company shall at any time or from time to time after the Series A Issue Date consolidate the outstanding Ordinary Shares, the Conversion Price in effect immediately before the consolidation shall be proportionately increased so that the number of Ordinary Shares issuable on conversion of each Series A Share shall be decreased in proportion to such decrease in the aggregate number of Ordinary Shares outstanding. Any adjustment under this Article 11.3 shall become effective at the close of business on the date the subdivision or consolidation becomes effective.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u w:val="single"/>
              </w:rPr>
              <w:t>Adjustment for certain dividends and distributions</w:t>
            </w:r>
            <w:r>
              <w:rPr/>
              <w:t>. In the event the Company at any time or from time to time after the Series A Issue Date shall make or issue, or fix a record date for the determination of holders of Ordinary Shares entitled to receive, a dividend or other distribution payable on the Ordinary Shares,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numerator of which shall be the total number of Ordinary Shares issued and outstanding immediately prior to the time of such issuance or the close of business on such record date,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denominator of which shall be the total number of Ordinary Shares issued and outstanding immediately prior to the time of such issuance or the close of business on such record date plus the number of Ordinary Shares issuable in payment of such dividend or distribution.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Article 11.4 as of the time of actual payment of such dividends or distributions; and (b) no such adjustment shall be made if the holders of Series A Shares simultaneously receive a dividend or other distribution of Ordinary Shares in a number equal to the number of Ordinary Shares as they would have received if all outstanding Series A Shares had been converted into Ordinary Shares on the date of such event.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11.5</w:t>
            </w:r>
          </w:p>
        </w:tc>
        <w:tc>
          <w:tcPr>
            <w:tcW w:w="9728" w:type="dxa"/>
            <w:tcBorders/>
            <w:vAlign w:val="center"/>
          </w:tcPr>
          <w:p>
            <w:pPr>
              <w:pStyle w:val="TableContents"/>
              <w:bidi w:val="0"/>
              <w:spacing w:before="0" w:after="283"/>
              <w:jc w:val="both"/>
              <w:rPr/>
            </w:pPr>
            <w:r>
              <w:rPr>
                <w:u w:val="single"/>
              </w:rPr>
              <w:t>Adjustments for other dividends and distributions</w:t>
            </w:r>
            <w:r>
              <w:rPr/>
              <w:t>. In the event the Company at any time or from time to time after the Series A Issue Date shall make or issue, or fix a record date for the determination of holders of Ordinary Shares entitled to receive, a dividend or other distribution payable in securities of the Company (other than a distribution of Ordinary Shares in respect of outstanding Ordinary Shares) or in other property and the provisions of Articles 25.7 and 25.8 do not apply to such dividend or distribution, then and in each such event the holders of Series A Shares shall receive, simultaneously with the distribution to the holders of Ordinary Shares, a dividend or other distribution of such securities or other property in an amount equal to the amount of such securities or other property as they would have received if all outstanding Series A Shares had been converted into Ordinary Shares on the date of such event.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944"/>
        <w:gridCol w:w="9180"/>
      </w:tblGrid>
      <w:tr>
        <w:trPr/>
        <w:tc>
          <w:tcPr>
            <w:tcW w:w="8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pPr>
            <w:r>
              <w:rPr/>
              <w:t>11.6</w:t>
            </w:r>
          </w:p>
        </w:tc>
        <w:tc>
          <w:tcPr>
            <w:tcW w:w="9180" w:type="dxa"/>
            <w:tcBorders/>
            <w:vAlign w:val="center"/>
          </w:tcPr>
          <w:p>
            <w:pPr>
              <w:pStyle w:val="TableContents"/>
              <w:bidi w:val="0"/>
              <w:spacing w:before="0" w:after="283"/>
              <w:jc w:val="both"/>
              <w:rPr/>
            </w:pPr>
            <w:r>
              <w:rPr>
                <w:u w:val="single"/>
              </w:rPr>
              <w:t>Adjustment for merger or reorganisation, etc</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6" w:type="dxa"/>
            <w:tcBorders/>
            <w:vAlign w:val="center"/>
          </w:tcPr>
          <w:p>
            <w:pPr>
              <w:pStyle w:val="TableContents"/>
              <w:bidi w:val="0"/>
              <w:spacing w:before="0" w:after="283"/>
              <w:jc w:val="both"/>
              <w:rPr/>
            </w:pPr>
            <w:r>
              <w:rPr/>
              <w:t xml:space="preserve">If, at any time while any Series A Share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or 50% or more of the Shares entitled to vote, (iv) the Company, directly or indirectly, in one or more related transactions effects any reclassification, reorganization or recapitalization of the Ordinary Shares or any compulsory share exchange pursuant to which the Ordinary Shares is effectively converted into or exchanged for other securities, cash or property (other than as a result of a share split, reverse share split, combination or reclassification of Ordinary Shares covered by Article 11.3 or any reorganization or parent-subsidiary merger not requiring shareholder approval), or (v) the Company, directly or indirectly, in one or more related transactions consummates a stock or share purchase agreement or other business combination (including, without limitation, a reorganization, recapitalization, spin-off, merger or scheme of arrangement) with another person whereby such other person acquires 50% or more of the outstanding Ordinary Shares or 50% or more of the Shares entitled to vote, and such event(s) do not constitute a Deemed Liquidation Event (each a </w:t>
            </w:r>
            <w:r>
              <w:rPr>
                <w:b/>
              </w:rPr>
              <w:t>Fundamental Transaction</w:t>
            </w:r>
            <w:r>
              <w:rPr/>
              <w:t>), the Series A Shareholders shall have the right to receive, for each Conversion Share that would have been issuable upon such conversion immediately prior to the occurrence of such Fundamental Transaction (without regard to any limitation in Article 10.3 on the conversion of the), the number of Series A Shares of the successor or acquiring corporation or of the Company, if it is the surviving corporation, and any additional consideration (the “</w:t>
            </w:r>
            <w:r>
              <w:rPr>
                <w:b/>
              </w:rPr>
              <w:t>Alternate Consideration</w:t>
            </w:r>
            <w:r>
              <w:rPr/>
              <w:t>”) receivable as a result of such Fundamental Transaction by a holder of the number of Ordinary Shares for which the Series A Shares are convertible immediately prior to such Fundamental Transaction (without regard to any limitation in Article 10.3 on the conversion of the Series A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For purposes of any such conversion, the determination of the Conversion Price shall be appropriately adjusted to apply to such Alternate Consideration based on the amount of Alternate Consideration issuable in respect of one Ordinary Share in such Fundamental Transaction, and the Company shall apportion the Conversion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Series A Shareholder shall be given the same choice as to the Alternate Consideration it receives upon any conversion of the Series A Shares following such Fundamental Transaction. To the extent necessary to effectuate the foregoing provisions, any successor to the Company or surviving entity in such Fundamental Transaction shall file articles of association with the same terms and conditions and issue to the Series A Shareholders new preference shares consistent with the foregoing provisions and evidencing the Series A Shareholders’ right to convert such preference shares into Alternate Consideration.</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both"/>
              <w:rPr/>
            </w:pPr>
            <w:r>
              <w:rPr/>
              <w:t>The Company shall require any successor entity in a Fundamental Transaction in which the Company is not the survivor (the “</w:t>
            </w:r>
            <w:r>
              <w:rPr>
                <w:b/>
              </w:rPr>
              <w:t>Successor Entity</w:t>
            </w:r>
            <w:r>
              <w:rPr/>
              <w:t>”) to assume in writing all of the obligations of the Company with respect to the Series A Shares under these Articles and the Registration Rights Agreement in accordance with the provisions of this Article 11.6 pursuant to written agreements in form and substance reasonably satisfactory to the Series A Majority and approved by the Series A Majority (without unreasonable delay) prior to such Fundamental Transaction and shall, at the option of any Series A Shareholder, deliver to the Series A Shareholders in exchange for the Series A Shares a security of the Successor Entity evidenced by a written instrument substantially similar in form and substance to the Series A Shares which is convertible for a corresponding number of shares of capital stock of such Successor Entity (or its parent entity) equivalent to the Ordinary Shares acquirable and receivable upon conversion of the Series A Shares (without regard to any limitations on the conversion of the Series A Shares) prior to such Fundamental Transaction, and with a conversion price which applies the Conversion Price hereunder to such shares of capital stock (but taking into account the relative value of the Ordinary Shares pursuant to such Fundamental Transaction and the value of such shares of capital stock, such number of shares of capital stock and such conversion price being for the purpose of protecting the economic value of the Series A Shares immediately prior to the consummation of such Fundamental Transaction), and which is reasonably satisfactory in form and substance to the Series A Majority.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11.7</w:t>
            </w:r>
          </w:p>
        </w:tc>
        <w:tc>
          <w:tcPr>
            <w:tcW w:w="9728" w:type="dxa"/>
            <w:tcBorders/>
            <w:vAlign w:val="center"/>
          </w:tcPr>
          <w:p>
            <w:pPr>
              <w:pStyle w:val="TableContents"/>
              <w:bidi w:val="0"/>
              <w:spacing w:before="0" w:after="283"/>
              <w:jc w:val="both"/>
              <w:rPr/>
            </w:pPr>
            <w:r>
              <w:rPr>
                <w:u w:val="single"/>
              </w:rPr>
              <w:t>Conversion Price Reset</w:t>
            </w:r>
            <w:r>
              <w:rPr/>
              <w:t xml:space="preserve">. If the per ordinary share volume-weighted average price for the twenty trading day period commencing on the date that is six months after the Date of Adoption (the </w:t>
            </w:r>
            <w:r>
              <w:rPr>
                <w:b/>
              </w:rPr>
              <w:t>Six Month VWAP</w:t>
            </w:r>
            <w:r>
              <w:rPr/>
              <w:t>) is less than then the Conversion Price, the Conversion Price will be subject to a one-time downward adjustment equal to the greater of: (i) the Six Month VWAP, and (ii) the Floor Price.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11.8</w:t>
            </w:r>
          </w:p>
        </w:tc>
        <w:tc>
          <w:tcPr>
            <w:tcW w:w="9728" w:type="dxa"/>
            <w:tcBorders/>
            <w:vAlign w:val="center"/>
          </w:tcPr>
          <w:p>
            <w:pPr>
              <w:pStyle w:val="TableContents"/>
              <w:bidi w:val="0"/>
              <w:spacing w:before="0" w:after="283"/>
              <w:jc w:val="both"/>
              <w:rPr/>
            </w:pPr>
            <w:r>
              <w:rPr>
                <w:u w:val="single"/>
              </w:rPr>
              <w:t>Certificate as to Adjustments</w:t>
            </w:r>
            <w:r>
              <w:rPr/>
              <w:t>. Upon the occurrence of each adjustment or readjustment pursuant to this Article 11, the Company at its expense shall, as promptly as reasonably practicable but in any event not later than ten days thereafter, compute such adjustment or readjustment in accordance with the terms hereof and furnish to each holder of Series A Shares a certificate setting forth such adjustment or readjustment and showing in detail the facts upon which such adjustment or readjustment is based. The Company shall, as promptly as reasonably practicable after the written request at any time of any holder of Series A Shares (but in any event not later than 10 days thereafter), furnish or cause to be furnished to such holder a certificate setting forth (i) the Conversion Price then in effect, and (ii) the number of Ordinary Shares and the amount, if any, of other securities, cash or property which then would be received upon the conversion of the Series A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11.9</w:t>
            </w:r>
          </w:p>
        </w:tc>
        <w:tc>
          <w:tcPr>
            <w:tcW w:w="9728" w:type="dxa"/>
            <w:tcBorders/>
            <w:vAlign w:val="center"/>
          </w:tcPr>
          <w:p>
            <w:pPr>
              <w:pStyle w:val="TableContents"/>
              <w:bidi w:val="0"/>
              <w:spacing w:before="0" w:after="283"/>
              <w:jc w:val="both"/>
              <w:rPr/>
            </w:pPr>
            <w:r>
              <w:rPr>
                <w:u w:val="single"/>
              </w:rPr>
              <w:t>Notice to Allow Conversion</w:t>
            </w:r>
            <w:r>
              <w:rPr/>
              <w:t>. If (A) the Company shall declare a dividend (or any other distribution in whatever form) on the Ordinary Shares, (B) the Company shall declare a redemption of the Ordinary Shares, (C) the Company shall authorize the granting to all holders of the Ordinary Shares of rights or warrants to subscribe for or purchase any shares of any class or of any rights, (D) the approval of any shareholders of the Company shall be required in connection with any reclassification of the Ordinary Shares, any consolidation or merger to which the Company is a party, any sale or transfer of all or substantially all of the assets of the Company (and all of its subsidiaries, taken as a whole),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the Series A Shares, and shall cause to be delivered by email to each Series A Shareholder at its email address as it shall appear upon the Register of Members,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shares of the Ordinary Shares for securities, cash or other property deliverable upon such reclassification, consolidation, merger, sale, transfer or share exchange, provided, that, notwithstanding the foregoing, any notice delivery requirement hereunder shall also be deemed satisfied by filing or furnishing such communication with the Commission via the EDGAR system; provided further,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or furnish such notice with the Commission pursuant to a Current Report on Form 6-K, unless determined by the Company that such filing would be harmful to the Company at such time, in which case the Company shall file or furnish such 6-K as soon as is reasonably practicable in its discretion. For the avoidance of doubt, and without limiting the conversion rights of any Series A Shareholder, each Series A Shareholder shall remain entitled to convert the Accrued Value of the Series A Shares (or any part hereof) during the twenty (20)-day period commencing on the date of such notice through the effective date of the event triggering such notice except as may otherwise be expressly set forth herein.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104"/>
        <w:gridCol w:w="8940"/>
      </w:tblGrid>
      <w:tr>
        <w:trPr/>
        <w:tc>
          <w:tcPr>
            <w:tcW w:w="1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12</w:t>
            </w:r>
          </w:p>
        </w:tc>
        <w:tc>
          <w:tcPr>
            <w:tcW w:w="8940" w:type="dxa"/>
            <w:tcBorders/>
            <w:vAlign w:val="center"/>
          </w:tcPr>
          <w:p>
            <w:pPr>
              <w:pStyle w:val="TableContents"/>
              <w:bidi w:val="0"/>
              <w:spacing w:before="0" w:after="283"/>
              <w:jc w:val="both"/>
              <w:rPr/>
            </w:pPr>
            <w:r>
              <w:rPr/>
              <w:t>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Company may, but shall not (unless required by the Designated Stock Exchange Rules, the Commission and/or any other competent regulatory authority or otherwise under Applicable Law) be obligated to, in each year hold a general meeting as an annual general meeting, which, if held, shall be convened by the Board, in accordance with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All general meetings other than annual general meetings shall be called extraordinary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809"/>
        <w:gridCol w:w="9327"/>
      </w:tblGrid>
      <w:tr>
        <w:trPr/>
        <w:tc>
          <w:tcPr>
            <w:tcW w:w="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12.3</w:t>
            </w:r>
          </w:p>
        </w:tc>
        <w:tc>
          <w:tcPr>
            <w:tcW w:w="9327" w:type="dxa"/>
            <w:tcBorders/>
            <w:vAlign w:val="center"/>
          </w:tcPr>
          <w:p>
            <w:pPr>
              <w:pStyle w:val="TableContents"/>
              <w:bidi w:val="0"/>
              <w:spacing w:before="0" w:after="283"/>
              <w:jc w:val="both"/>
              <w:rPr/>
            </w:pPr>
            <w:r>
              <w:rPr/>
              <w:t>The Directors may call a general meeting at any time.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12.4</w:t>
            </w:r>
          </w:p>
        </w:tc>
        <w:tc>
          <w:tcPr>
            <w:tcW w:w="9728" w:type="dxa"/>
            <w:tcBorders/>
            <w:vAlign w:val="center"/>
          </w:tcPr>
          <w:p>
            <w:pPr>
              <w:pStyle w:val="TableContents"/>
              <w:bidi w:val="0"/>
              <w:spacing w:before="0" w:after="283"/>
              <w:jc w:val="both"/>
              <w:rPr/>
            </w:pPr>
            <w:r>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12.5</w:t>
            </w:r>
          </w:p>
        </w:tc>
        <w:tc>
          <w:tcPr>
            <w:tcW w:w="9728" w:type="dxa"/>
            <w:tcBorders/>
            <w:vAlign w:val="center"/>
          </w:tcPr>
          <w:p>
            <w:pPr>
              <w:pStyle w:val="TableContents"/>
              <w:bidi w:val="0"/>
              <w:spacing w:before="0" w:after="283"/>
              <w:jc w:val="both"/>
              <w:rPr/>
            </w:pPr>
            <w:r>
              <w:rPr/>
              <w:t>The Directors must also call a general meeting if requisitioned in the manner set out in the next two Articles.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12.6</w:t>
            </w:r>
          </w:p>
        </w:tc>
        <w:tc>
          <w:tcPr>
            <w:tcW w:w="9728" w:type="dxa"/>
            <w:tcBorders/>
            <w:vAlign w:val="center"/>
          </w:tcPr>
          <w:p>
            <w:pPr>
              <w:pStyle w:val="TableContents"/>
              <w:bidi w:val="0"/>
              <w:spacing w:before="0" w:after="283"/>
              <w:jc w:val="both"/>
              <w:rPr/>
            </w:pPr>
            <w:r>
              <w:rPr/>
              <w:t>The requisition must be in writing and given by one or more Members who together holder at least ten per cent of the rights to vote at such general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1526"/>
        <w:gridCol w:w="8548"/>
      </w:tblGrid>
      <w:tr>
        <w:trPr/>
        <w:tc>
          <w:tcPr>
            <w:tcW w:w="13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pPr>
            <w:r>
              <w:rPr/>
              <w:t>12.7</w:t>
            </w:r>
          </w:p>
        </w:tc>
        <w:tc>
          <w:tcPr>
            <w:tcW w:w="8548" w:type="dxa"/>
            <w:tcBorders/>
            <w:vAlign w:val="center"/>
          </w:tcPr>
          <w:p>
            <w:pPr>
              <w:pStyle w:val="TableContents"/>
              <w:bidi w:val="0"/>
              <w:spacing w:before="0" w:after="283"/>
              <w:jc w:val="both"/>
              <w:rPr/>
            </w:pPr>
            <w:r>
              <w:rPr/>
              <w:t>The requisition must also:</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769"/>
        <w:gridCol w:w="9330"/>
      </w:tblGrid>
      <w:tr>
        <w:trPr/>
        <w:tc>
          <w:tcPr>
            <w:tcW w:w="10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pPr>
            <w:r>
              <w:rPr/>
              <w:t>(a)</w:t>
            </w:r>
          </w:p>
        </w:tc>
        <w:tc>
          <w:tcPr>
            <w:tcW w:w="9330" w:type="dxa"/>
            <w:tcBorders/>
            <w:vAlign w:val="center"/>
          </w:tcPr>
          <w:p>
            <w:pPr>
              <w:pStyle w:val="TableContents"/>
              <w:bidi w:val="0"/>
              <w:spacing w:before="0" w:after="283"/>
              <w:jc w:val="both"/>
              <w:rPr/>
            </w:pPr>
            <w:r>
              <w:rPr/>
              <w:t>specify the purpose of the meeting;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be signed by or on behalf of each requisitioner (and for this purpose, each joint holder shall be obliged to sign). The requisition may consist of several documents in line form signed by one or more of the requisitioners;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18"/>
        <w:gridCol w:w="9616"/>
      </w:tblGrid>
      <w:tr>
        <w:trPr/>
        <w:tc>
          <w:tcPr>
            <w:tcW w:w="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(c)</w:t>
            </w:r>
          </w:p>
        </w:tc>
        <w:tc>
          <w:tcPr>
            <w:tcW w:w="9616" w:type="dxa"/>
            <w:tcBorders/>
            <w:vAlign w:val="center"/>
          </w:tcPr>
          <w:p>
            <w:pPr>
              <w:pStyle w:val="TableContents"/>
              <w:bidi w:val="0"/>
              <w:spacing w:before="0" w:after="283"/>
              <w:jc w:val="both"/>
              <w:rPr/>
            </w:pPr>
            <w:r>
              <w:rPr/>
              <w:t>be delivered in accordance with the notice provisions.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12.8</w:t>
            </w:r>
          </w:p>
        </w:tc>
        <w:tc>
          <w:tcPr>
            <w:tcW w:w="9728" w:type="dxa"/>
            <w:tcBorders/>
            <w:vAlign w:val="center"/>
          </w:tcPr>
          <w:p>
            <w:pPr>
              <w:pStyle w:val="TableContents"/>
              <w:bidi w:val="0"/>
              <w:spacing w:before="0" w:after="283"/>
              <w:jc w:val="both"/>
              <w:rPr/>
            </w:pPr>
            <w:r>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12.9</w:t>
            </w:r>
          </w:p>
        </w:tc>
        <w:tc>
          <w:tcPr>
            <w:tcW w:w="9728" w:type="dxa"/>
            <w:tcBorders/>
            <w:vAlign w:val="center"/>
          </w:tcPr>
          <w:p>
            <w:pPr>
              <w:pStyle w:val="TableContents"/>
              <w:bidi w:val="0"/>
              <w:spacing w:before="0" w:after="283"/>
              <w:jc w:val="both"/>
              <w:rPr/>
            </w:pPr>
            <w:r>
              <w:rPr/>
              <w:t>Without limitation to the foregoing, if there are insufficient Directors to constitute a quorum and the remaining Directors are unable to agree on the appointment of additional Directors, any one or more Members who together hold at least ten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12.10</w:t>
            </w:r>
          </w:p>
        </w:tc>
        <w:tc>
          <w:tcPr>
            <w:tcW w:w="9608" w:type="dxa"/>
            <w:tcBorders/>
            <w:vAlign w:val="center"/>
          </w:tcPr>
          <w:p>
            <w:pPr>
              <w:pStyle w:val="TableContents"/>
              <w:bidi w:val="0"/>
              <w:spacing w:before="0" w:after="283"/>
              <w:jc w:val="both"/>
              <w:rPr/>
            </w:pPr>
            <w:r>
              <w:rPr/>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12.11</w:t>
            </w:r>
          </w:p>
        </w:tc>
        <w:tc>
          <w:tcPr>
            <w:tcW w:w="9608" w:type="dxa"/>
            <w:tcBorders/>
            <w:vAlign w:val="center"/>
          </w:tcPr>
          <w:p>
            <w:pPr>
              <w:pStyle w:val="TableContents"/>
              <w:bidi w:val="0"/>
              <w:spacing w:before="0" w:after="283"/>
              <w:jc w:val="both"/>
              <w:rPr/>
            </w:pPr>
            <w:r>
              <w:rPr/>
              <w:t>If the Members call a meeting under the above provisions, the Company shall reimburse their reasonable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866"/>
        <w:gridCol w:w="9281"/>
      </w:tblGrid>
      <w:tr>
        <w:trPr/>
        <w:tc>
          <w:tcPr>
            <w:tcW w:w="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pPr>
            <w:r>
              <w:rPr/>
              <w:t>12.12</w:t>
            </w:r>
          </w:p>
        </w:tc>
        <w:tc>
          <w:tcPr>
            <w:tcW w:w="9281" w:type="dxa"/>
            <w:tcBorders/>
            <w:vAlign w:val="center"/>
          </w:tcPr>
          <w:p>
            <w:pPr>
              <w:pStyle w:val="TableContents"/>
              <w:bidi w:val="0"/>
              <w:spacing w:before="0" w:after="283"/>
              <w:jc w:val="both"/>
              <w:rPr/>
            </w:pPr>
            <w:r>
              <w:rPr/>
              <w:t>Notice of a general meeting shall specify each of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590"/>
        <w:gridCol w:w="9534"/>
      </w:tblGrid>
      <w:tr>
        <w:trPr/>
        <w:tc>
          <w:tcPr>
            <w:tcW w:w="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(a)</w:t>
            </w:r>
          </w:p>
        </w:tc>
        <w:tc>
          <w:tcPr>
            <w:tcW w:w="9534" w:type="dxa"/>
            <w:tcBorders/>
            <w:vAlign w:val="center"/>
          </w:tcPr>
          <w:p>
            <w:pPr>
              <w:pStyle w:val="TableContents"/>
              <w:bidi w:val="0"/>
              <w:spacing w:before="0" w:after="283"/>
              <w:jc w:val="both"/>
              <w:rPr/>
            </w:pPr>
            <w:r>
              <w:rPr/>
              <w:t>the place, the date and the hour of the meeting;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if the meeting is to be held in two or more places, the technology that will be used to facilitate the meeting;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subject to paragraph (d) and the requirements of the Designated Stock Exchange Rules (to the extent applicable), the general nature of the business to be transacted;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91"/>
        <w:gridCol w:w="9763"/>
      </w:tblGrid>
      <w:tr>
        <w:trPr/>
        <w:tc>
          <w:tcPr>
            <w:tcW w:w="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(d)</w:t>
            </w:r>
          </w:p>
        </w:tc>
        <w:tc>
          <w:tcPr>
            <w:tcW w:w="9763" w:type="dxa"/>
            <w:tcBorders/>
            <w:vAlign w:val="center"/>
          </w:tcPr>
          <w:p>
            <w:pPr>
              <w:pStyle w:val="TableContents"/>
              <w:bidi w:val="0"/>
              <w:spacing w:before="0" w:after="283"/>
              <w:jc w:val="both"/>
              <w:rPr/>
            </w:pPr>
            <w:r>
              <w:rPr/>
              <w:t>if a resolution is proposed as a Special Resolution, the text of that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649"/>
        <w:gridCol w:w="9512"/>
      </w:tblGrid>
      <w:tr>
        <w:trPr/>
        <w:tc>
          <w:tcPr>
            <w:tcW w:w="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12.13</w:t>
            </w:r>
          </w:p>
        </w:tc>
        <w:tc>
          <w:tcPr>
            <w:tcW w:w="9512" w:type="dxa"/>
            <w:tcBorders/>
            <w:vAlign w:val="center"/>
          </w:tcPr>
          <w:p>
            <w:pPr>
              <w:pStyle w:val="TableContents"/>
              <w:bidi w:val="0"/>
              <w:spacing w:before="0" w:after="283"/>
              <w:jc w:val="both"/>
              <w:rPr/>
            </w:pPr>
            <w:r>
              <w:rPr/>
              <w:t>In each notice there shall appear with reasonable prominence the following statements: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that a Member who is entitled to attend and vote is entitled to appoint one or more proxies to attend and vote instead of that Member;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85"/>
        <w:gridCol w:w="9431"/>
      </w:tblGrid>
      <w:tr>
        <w:trPr/>
        <w:tc>
          <w:tcPr>
            <w:tcW w:w="8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(b)</w:t>
            </w:r>
          </w:p>
        </w:tc>
        <w:tc>
          <w:tcPr>
            <w:tcW w:w="9431" w:type="dxa"/>
            <w:tcBorders/>
            <w:vAlign w:val="center"/>
          </w:tcPr>
          <w:p>
            <w:pPr>
              <w:pStyle w:val="TableContents"/>
              <w:bidi w:val="0"/>
              <w:spacing w:before="0" w:after="283"/>
              <w:jc w:val="both"/>
              <w:rPr/>
            </w:pPr>
            <w:r>
              <w:rPr/>
              <w:t>that a proxyholder need not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647"/>
        <w:gridCol w:w="9515"/>
      </w:tblGrid>
      <w:tr>
        <w:trPr/>
        <w:tc>
          <w:tcPr>
            <w:tcW w:w="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pPr>
            <w:r>
              <w:rPr/>
              <w:t>12.14</w:t>
            </w:r>
          </w:p>
        </w:tc>
        <w:tc>
          <w:tcPr>
            <w:tcW w:w="9515" w:type="dxa"/>
            <w:tcBorders/>
            <w:vAlign w:val="center"/>
          </w:tcPr>
          <w:p>
            <w:pPr>
              <w:pStyle w:val="TableContents"/>
              <w:bidi w:val="0"/>
              <w:spacing w:before="0" w:after="283"/>
              <w:jc w:val="both"/>
              <w:rPr/>
            </w:pPr>
            <w:r>
              <w:rPr/>
              <w:t>At least five (5) Clear Days’ notice shall be given to Members for any general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12.15</w:t>
            </w:r>
          </w:p>
        </w:tc>
        <w:tc>
          <w:tcPr>
            <w:tcW w:w="9608" w:type="dxa"/>
            <w:tcBorders/>
            <w:vAlign w:val="center"/>
          </w:tcPr>
          <w:p>
            <w:pPr>
              <w:pStyle w:val="TableContents"/>
              <w:bidi w:val="0"/>
              <w:spacing w:before="0" w:after="283"/>
              <w:jc w:val="both"/>
              <w:rPr/>
            </w:pPr>
            <w:r>
              <w:rPr/>
              <w:t>Subject to the Act, a meeting may be convened on shorter notice, with the consent of the Member or Members who, individually or collectively, hold not less than 75 per cent of the voting rights of all those who have a right to vote at that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12.16</w:t>
            </w:r>
          </w:p>
        </w:tc>
        <w:tc>
          <w:tcPr>
            <w:tcW w:w="9608" w:type="dxa"/>
            <w:tcBorders/>
            <w:vAlign w:val="center"/>
          </w:tcPr>
          <w:p>
            <w:pPr>
              <w:pStyle w:val="TableContents"/>
              <w:bidi w:val="0"/>
              <w:spacing w:before="0" w:after="283"/>
              <w:jc w:val="both"/>
              <w:rPr/>
            </w:pPr>
            <w:r>
              <w:rPr/>
              <w:t>Subject to the provisions of these Articles and to any restrictions imposed on any Shares, the notice shall be given to the following people: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779"/>
        <w:gridCol w:w="8181"/>
      </w:tblGrid>
      <w:tr>
        <w:trPr/>
        <w:tc>
          <w:tcPr>
            <w:tcW w:w="24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pPr>
            <w:r>
              <w:rPr/>
              <w:t>(a)</w:t>
            </w:r>
          </w:p>
        </w:tc>
        <w:tc>
          <w:tcPr>
            <w:tcW w:w="8181" w:type="dxa"/>
            <w:tcBorders/>
            <w:vAlign w:val="center"/>
          </w:tcPr>
          <w:p>
            <w:pPr>
              <w:pStyle w:val="TableContents"/>
              <w:bidi w:val="0"/>
              <w:spacing w:before="0" w:after="283"/>
              <w:jc w:val="both"/>
              <w:rPr/>
            </w:pPr>
            <w:r>
              <w:rPr/>
              <w:t>the Members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59"/>
        <w:gridCol w:w="9799"/>
      </w:tblGrid>
      <w:tr>
        <w:trPr/>
        <w:tc>
          <w:tcPr>
            <w:tcW w:w="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(b)</w:t>
            </w:r>
          </w:p>
        </w:tc>
        <w:tc>
          <w:tcPr>
            <w:tcW w:w="9799" w:type="dxa"/>
            <w:tcBorders/>
            <w:vAlign w:val="center"/>
          </w:tcPr>
          <w:p>
            <w:pPr>
              <w:pStyle w:val="TableContents"/>
              <w:bidi w:val="0"/>
              <w:spacing w:before="0" w:after="283"/>
              <w:jc w:val="both"/>
              <w:rPr/>
            </w:pPr>
            <w:r>
              <w:rPr/>
              <w:t>persons entitled to a Share in consequence of the death or bankruptcy of a Member;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383"/>
        <w:gridCol w:w="8631"/>
      </w:tblGrid>
      <w:tr>
        <w:trPr/>
        <w:tc>
          <w:tcPr>
            <w:tcW w:w="19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pPr>
            <w:r>
              <w:rPr/>
              <w:t>(c)</w:t>
            </w:r>
          </w:p>
        </w:tc>
        <w:tc>
          <w:tcPr>
            <w:tcW w:w="8631" w:type="dxa"/>
            <w:tcBorders/>
            <w:vAlign w:val="center"/>
          </w:tcPr>
          <w:p>
            <w:pPr>
              <w:pStyle w:val="TableContents"/>
              <w:bidi w:val="0"/>
              <w:spacing w:before="0" w:after="283"/>
              <w:jc w:val="both"/>
              <w:rPr/>
            </w:pPr>
            <w:r>
              <w:rPr/>
              <w:t>the Directors;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011"/>
        <w:gridCol w:w="9062"/>
      </w:tblGrid>
      <w:tr>
        <w:trPr/>
        <w:tc>
          <w:tcPr>
            <w:tcW w:w="13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pPr>
            <w:r>
              <w:rPr/>
              <w:t>(d)</w:t>
            </w:r>
          </w:p>
        </w:tc>
        <w:tc>
          <w:tcPr>
            <w:tcW w:w="9062" w:type="dxa"/>
            <w:tcBorders/>
            <w:vAlign w:val="center"/>
          </w:tcPr>
          <w:p>
            <w:pPr>
              <w:pStyle w:val="TableContents"/>
              <w:bidi w:val="0"/>
              <w:spacing w:before="0" w:after="283"/>
              <w:jc w:val="both"/>
              <w:rPr/>
            </w:pPr>
            <w:r>
              <w:rPr/>
              <w:t>the Auditors (if appointed).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12.17</w:t>
            </w:r>
          </w:p>
        </w:tc>
        <w:tc>
          <w:tcPr>
            <w:tcW w:w="9608" w:type="dxa"/>
            <w:tcBorders/>
            <w:vAlign w:val="center"/>
          </w:tcPr>
          <w:p>
            <w:pPr>
              <w:pStyle w:val="TableContents"/>
              <w:bidi w:val="0"/>
              <w:spacing w:before="0" w:after="283"/>
              <w:jc w:val="both"/>
              <w:rPr/>
            </w:pPr>
            <w:r>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827"/>
        <w:gridCol w:w="9322"/>
      </w:tblGrid>
      <w:tr>
        <w:trPr/>
        <w:tc>
          <w:tcPr>
            <w:tcW w:w="5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12.18</w:t>
            </w:r>
          </w:p>
        </w:tc>
        <w:tc>
          <w:tcPr>
            <w:tcW w:w="9322" w:type="dxa"/>
            <w:tcBorders/>
            <w:vAlign w:val="center"/>
          </w:tcPr>
          <w:p>
            <w:pPr>
              <w:pStyle w:val="TableContents"/>
              <w:bidi w:val="0"/>
              <w:spacing w:before="0" w:after="283"/>
              <w:jc w:val="both"/>
              <w:rPr/>
            </w:pPr>
            <w:r>
              <w:rPr/>
              <w:t>Proceedings at a meeting shall not be invalidated by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40"/>
        <w:gridCol w:w="9819"/>
      </w:tblGrid>
      <w:tr>
        <w:trPr/>
        <w:tc>
          <w:tcPr>
            <w:tcW w:w="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(a)</w:t>
            </w:r>
          </w:p>
        </w:tc>
        <w:tc>
          <w:tcPr>
            <w:tcW w:w="9819" w:type="dxa"/>
            <w:tcBorders/>
            <w:vAlign w:val="center"/>
          </w:tcPr>
          <w:p>
            <w:pPr>
              <w:pStyle w:val="TableContents"/>
              <w:bidi w:val="0"/>
              <w:spacing w:before="0" w:after="283"/>
              <w:jc w:val="both"/>
              <w:rPr/>
            </w:pPr>
            <w:r>
              <w:rPr/>
              <w:t>an accidental failure to give notice of the meeting to any person entitled to notice;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(b)</w:t>
            </w:r>
          </w:p>
        </w:tc>
        <w:tc>
          <w:tcPr>
            <w:tcW w:w="9713" w:type="dxa"/>
            <w:tcBorders/>
            <w:vAlign w:val="center"/>
          </w:tcPr>
          <w:p>
            <w:pPr>
              <w:pStyle w:val="TableContents"/>
              <w:bidi w:val="0"/>
              <w:spacing w:before="0" w:after="283"/>
              <w:jc w:val="both"/>
              <w:rPr/>
            </w:pPr>
            <w:r>
              <w:rPr/>
              <w:t>non-receipt of notice of the meeting by any person entitled to notice.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12.19</w:t>
            </w:r>
          </w:p>
        </w:tc>
        <w:tc>
          <w:tcPr>
            <w:tcW w:w="9608" w:type="dxa"/>
            <w:tcBorders/>
            <w:vAlign w:val="center"/>
          </w:tcPr>
          <w:p>
            <w:pPr>
              <w:pStyle w:val="TableContents"/>
              <w:bidi w:val="0"/>
              <w:spacing w:before="0" w:after="283"/>
              <w:jc w:val="both"/>
              <w:rPr/>
            </w:pPr>
            <w:r>
              <w:rPr/>
              <w:t>In addition, where a notice of meeting is published on a website proceedings at the meeting shall not be invalidated merely because it is accidentally published: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731"/>
        <w:gridCol w:w="9374"/>
      </w:tblGrid>
      <w:tr>
        <w:trPr/>
        <w:tc>
          <w:tcPr>
            <w:tcW w:w="10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(a)</w:t>
            </w:r>
          </w:p>
        </w:tc>
        <w:tc>
          <w:tcPr>
            <w:tcW w:w="9374" w:type="dxa"/>
            <w:tcBorders/>
            <w:vAlign w:val="center"/>
          </w:tcPr>
          <w:p>
            <w:pPr>
              <w:pStyle w:val="TableContents"/>
              <w:bidi w:val="0"/>
              <w:spacing w:before="0" w:after="283"/>
              <w:jc w:val="both"/>
              <w:rPr/>
            </w:pPr>
            <w:r>
              <w:rPr/>
              <w:t>in a different place on the website;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for part only of the period from the date of the notification until the conclusion of the meeting to which the notice relates.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96"/>
        <w:gridCol w:w="9408"/>
      </w:tblGrid>
      <w:tr>
        <w:trPr/>
        <w:tc>
          <w:tcPr>
            <w:tcW w:w="10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13</w:t>
            </w:r>
          </w:p>
        </w:tc>
        <w:tc>
          <w:tcPr>
            <w:tcW w:w="9408" w:type="dxa"/>
            <w:tcBorders/>
            <w:vAlign w:val="center"/>
          </w:tcPr>
          <w:p>
            <w:pPr>
              <w:pStyle w:val="TableContents"/>
              <w:bidi w:val="0"/>
              <w:spacing w:before="0" w:after="283"/>
              <w:jc w:val="both"/>
              <w:rPr/>
            </w:pPr>
            <w:r>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Save as provided in the following Article, no business shall be transacted at any meeting unless a quorum is present in person or by proxy. A quorum is as follows: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29"/>
        <w:gridCol w:w="9604"/>
      </w:tblGrid>
      <w:tr>
        <w:trPr/>
        <w:tc>
          <w:tcPr>
            <w:tcW w:w="7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(a)</w:t>
            </w:r>
          </w:p>
        </w:tc>
        <w:tc>
          <w:tcPr>
            <w:tcW w:w="9604" w:type="dxa"/>
            <w:tcBorders/>
            <w:vAlign w:val="center"/>
          </w:tcPr>
          <w:p>
            <w:pPr>
              <w:pStyle w:val="TableContents"/>
              <w:bidi w:val="0"/>
              <w:spacing w:before="0" w:after="283"/>
              <w:jc w:val="both"/>
              <w:rPr/>
            </w:pPr>
            <w:r>
              <w:rPr/>
              <w:t>if the Company has only one Member: that Member;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if the Company has more than one Member: one or more Members holding Shares that represent not less than one-third of the outstanding Shares carrying the right to vote at such general meeting, being individuals present in person or by proxy or if a corporation or other non-natural person by its duly authorised representative or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3"/>
        <w:gridCol w:w="9724"/>
      </w:tblGrid>
      <w:tr>
        <w:trPr/>
        <w:tc>
          <w:tcPr>
            <w:tcW w:w="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pPr>
            <w:r>
              <w:rPr/>
              <w:t>(a)</w:t>
            </w:r>
          </w:p>
        </w:tc>
        <w:tc>
          <w:tcPr>
            <w:tcW w:w="9724" w:type="dxa"/>
            <w:tcBorders/>
            <w:vAlign w:val="center"/>
          </w:tcPr>
          <w:p>
            <w:pPr>
              <w:pStyle w:val="TableContents"/>
              <w:bidi w:val="0"/>
              <w:spacing w:before="0" w:after="283"/>
              <w:jc w:val="both"/>
              <w:rPr/>
            </w:pPr>
            <w:r>
              <w:rPr/>
              <w:t>If the meeting was requisitioned by Members, it shall be cancelled.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13.4</w:t>
            </w:r>
          </w:p>
        </w:tc>
        <w:tc>
          <w:tcPr>
            <w:tcW w:w="9728" w:type="dxa"/>
            <w:tcBorders/>
            <w:vAlign w:val="center"/>
          </w:tcPr>
          <w:p>
            <w:pPr>
              <w:pStyle w:val="TableContents"/>
              <w:bidi w:val="0"/>
              <w:spacing w:before="0" w:after="283"/>
              <w:jc w:val="both"/>
              <w:rPr/>
            </w:pPr>
            <w:r>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13.5</w:t>
            </w:r>
          </w:p>
        </w:tc>
        <w:tc>
          <w:tcPr>
            <w:tcW w:w="9728" w:type="dxa"/>
            <w:tcBorders/>
            <w:vAlign w:val="center"/>
          </w:tcPr>
          <w:p>
            <w:pPr>
              <w:pStyle w:val="TableContents"/>
              <w:bidi w:val="0"/>
              <w:spacing w:before="0" w:after="283"/>
              <w:jc w:val="both"/>
              <w:rPr/>
            </w:pPr>
            <w:r>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13.6</w:t>
            </w:r>
          </w:p>
        </w:tc>
        <w:tc>
          <w:tcPr>
            <w:tcW w:w="9728" w:type="dxa"/>
            <w:tcBorders/>
            <w:vAlign w:val="center"/>
          </w:tcPr>
          <w:p>
            <w:pPr>
              <w:pStyle w:val="TableContents"/>
              <w:bidi w:val="0"/>
              <w:spacing w:before="0" w:after="283"/>
              <w:jc w:val="both"/>
              <w:rPr/>
            </w:pPr>
            <w:r>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8"/>
        <w:gridCol w:w="9753"/>
      </w:tblGrid>
      <w:tr>
        <w:trPr/>
        <w:tc>
          <w:tcPr>
            <w:tcW w:w="5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(a)</w:t>
            </w:r>
          </w:p>
        </w:tc>
        <w:tc>
          <w:tcPr>
            <w:tcW w:w="9753" w:type="dxa"/>
            <w:tcBorders/>
            <w:vAlign w:val="center"/>
          </w:tcPr>
          <w:p>
            <w:pPr>
              <w:pStyle w:val="TableContents"/>
              <w:bidi w:val="0"/>
              <w:spacing w:before="0" w:after="283"/>
              <w:jc w:val="both"/>
              <w:rPr/>
            </w:pPr>
            <w:r>
              <w:rPr/>
              <w:t>to participate in the business for which the meeting has been convened;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to hear and see all persons present who speak (whether by the use of microphones, loud-speakers, audio-visual communications equipment or otherwise);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7"/>
        <w:gridCol w:w="9720"/>
      </w:tblGrid>
      <w:tr>
        <w:trPr/>
        <w:tc>
          <w:tcPr>
            <w:tcW w:w="5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(c)</w:t>
            </w:r>
          </w:p>
        </w:tc>
        <w:tc>
          <w:tcPr>
            <w:tcW w:w="9720" w:type="dxa"/>
            <w:tcBorders/>
            <w:vAlign w:val="center"/>
          </w:tcPr>
          <w:p>
            <w:pPr>
              <w:pStyle w:val="TableContents"/>
              <w:bidi w:val="0"/>
              <w:spacing w:before="0" w:after="283"/>
              <w:jc w:val="both"/>
              <w:rPr/>
            </w:pPr>
            <w:r>
              <w:rPr/>
              <w:t>to be heard and seen by all other persons present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13.7</w:t>
            </w:r>
          </w:p>
        </w:tc>
        <w:tc>
          <w:tcPr>
            <w:tcW w:w="9728" w:type="dxa"/>
            <w:tcBorders/>
            <w:vAlign w:val="center"/>
          </w:tcPr>
          <w:p>
            <w:pPr>
              <w:pStyle w:val="TableContents"/>
              <w:bidi w:val="0"/>
              <w:spacing w:before="0" w:after="283"/>
              <w:jc w:val="both"/>
              <w:rPr/>
            </w:pPr>
            <w:r>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and Postponement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13.8</w:t>
            </w:r>
          </w:p>
        </w:tc>
        <w:tc>
          <w:tcPr>
            <w:tcW w:w="9728" w:type="dxa"/>
            <w:tcBorders/>
            <w:vAlign w:val="center"/>
          </w:tcPr>
          <w:p>
            <w:pPr>
              <w:pStyle w:val="TableContents"/>
              <w:bidi w:val="0"/>
              <w:spacing w:before="0" w:after="283"/>
              <w:jc w:val="both"/>
              <w:rPr/>
            </w:pPr>
            <w:r>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13.9</w:t>
            </w:r>
          </w:p>
        </w:tc>
        <w:tc>
          <w:tcPr>
            <w:tcW w:w="9728" w:type="dxa"/>
            <w:tcBorders/>
            <w:vAlign w:val="center"/>
          </w:tcPr>
          <w:p>
            <w:pPr>
              <w:pStyle w:val="TableContents"/>
              <w:bidi w:val="0"/>
              <w:spacing w:before="0" w:after="283"/>
              <w:jc w:val="both"/>
              <w:rPr/>
            </w:pPr>
            <w:r>
              <w:rPr/>
              <w:t>Should a meeting be adjourned for more than 20 Clear Days, whether because of a lack of quorum or otherwise, Members shall be given at least five (5)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13.10</w:t>
            </w:r>
          </w:p>
        </w:tc>
        <w:tc>
          <w:tcPr>
            <w:tcW w:w="9608" w:type="dxa"/>
            <w:tcBorders/>
            <w:vAlign w:val="center"/>
          </w:tcPr>
          <w:p>
            <w:pPr>
              <w:pStyle w:val="TableContents"/>
              <w:bidi w:val="0"/>
              <w:spacing w:before="0" w:after="283"/>
              <w:jc w:val="both"/>
              <w:rPr/>
            </w:pPr>
            <w:r>
              <w:rPr/>
              <w:t>If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13.11</w:t>
            </w:r>
          </w:p>
        </w:tc>
        <w:tc>
          <w:tcPr>
            <w:tcW w:w="9608" w:type="dxa"/>
            <w:tcBorders/>
            <w:vAlign w:val="center"/>
          </w:tcPr>
          <w:p>
            <w:pPr>
              <w:pStyle w:val="TableContents"/>
              <w:bidi w:val="0"/>
              <w:spacing w:before="0" w:after="283"/>
              <w:jc w:val="both"/>
              <w:rPr/>
            </w:pPr>
            <w:r>
              <w:rPr/>
              <w:t>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800"/>
        <w:gridCol w:w="9351"/>
      </w:tblGrid>
      <w:tr>
        <w:trPr/>
        <w:tc>
          <w:tcPr>
            <w:tcW w:w="5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pPr>
            <w:r>
              <w:rPr/>
              <w:t>13.12</w:t>
            </w:r>
          </w:p>
        </w:tc>
        <w:tc>
          <w:tcPr>
            <w:tcW w:w="9351" w:type="dxa"/>
            <w:tcBorders/>
            <w:vAlign w:val="center"/>
          </w:tcPr>
          <w:p>
            <w:pPr>
              <w:pStyle w:val="TableContents"/>
              <w:bidi w:val="0"/>
              <w:spacing w:before="0" w:after="283"/>
              <w:jc w:val="both"/>
              <w:rPr/>
            </w:pPr>
            <w:r>
              <w:rPr/>
              <w:t>A resolution put to the vote of the meeting shall be decided on a poll.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724"/>
        <w:gridCol w:w="9432"/>
      </w:tblGrid>
      <w:tr>
        <w:trPr/>
        <w:tc>
          <w:tcPr>
            <w:tcW w:w="4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pPr>
            <w:r>
              <w:rPr/>
              <w:t>13.13</w:t>
            </w:r>
          </w:p>
        </w:tc>
        <w:tc>
          <w:tcPr>
            <w:tcW w:w="9432" w:type="dxa"/>
            <w:tcBorders/>
            <w:vAlign w:val="center"/>
          </w:tcPr>
          <w:p>
            <w:pPr>
              <w:pStyle w:val="TableContents"/>
              <w:bidi w:val="0"/>
              <w:spacing w:before="0" w:after="283"/>
              <w:jc w:val="both"/>
              <w:rPr/>
            </w:pPr>
            <w:r>
              <w:rPr/>
              <w:t>A poll demanded on the question of adjournment shall be taken immediately.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13.14</w:t>
            </w:r>
          </w:p>
        </w:tc>
        <w:tc>
          <w:tcPr>
            <w:tcW w:w="9608" w:type="dxa"/>
            <w:tcBorders/>
            <w:vAlign w:val="center"/>
          </w:tcPr>
          <w:p>
            <w:pPr>
              <w:pStyle w:val="TableContents"/>
              <w:bidi w:val="0"/>
              <w:spacing w:before="0" w:after="283"/>
              <w:jc w:val="both"/>
              <w:rPr/>
            </w:pPr>
            <w:r>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13.15</w:t>
            </w:r>
          </w:p>
        </w:tc>
        <w:tc>
          <w:tcPr>
            <w:tcW w:w="9608" w:type="dxa"/>
            <w:tcBorders/>
            <w:vAlign w:val="center"/>
          </w:tcPr>
          <w:p>
            <w:pPr>
              <w:pStyle w:val="TableContents"/>
              <w:bidi w:val="0"/>
              <w:spacing w:before="0" w:after="283"/>
              <w:jc w:val="both"/>
              <w:rPr/>
            </w:pPr>
            <w:r>
              <w:rPr/>
              <w:t>The demand for a poll shall not prevent the meeting continuing to transact any business other than the question on which the poll was demanded.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13.16</w:t>
            </w:r>
          </w:p>
        </w:tc>
        <w:tc>
          <w:tcPr>
            <w:tcW w:w="9608" w:type="dxa"/>
            <w:tcBorders/>
            <w:vAlign w:val="center"/>
          </w:tcPr>
          <w:p>
            <w:pPr>
              <w:pStyle w:val="TableContents"/>
              <w:bidi w:val="0"/>
              <w:spacing w:before="0" w:after="283"/>
              <w:jc w:val="both"/>
              <w:rPr/>
            </w:pPr>
            <w:r>
              <w:rPr/>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611"/>
        <w:gridCol w:w="9553"/>
      </w:tblGrid>
      <w:tr>
        <w:trPr/>
        <w:tc>
          <w:tcPr>
            <w:tcW w:w="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13.17</w:t>
            </w:r>
          </w:p>
        </w:tc>
        <w:tc>
          <w:tcPr>
            <w:tcW w:w="9553" w:type="dxa"/>
            <w:tcBorders/>
            <w:vAlign w:val="center"/>
          </w:tcPr>
          <w:p>
            <w:pPr>
              <w:pStyle w:val="TableContents"/>
              <w:bidi w:val="0"/>
              <w:spacing w:before="0" w:after="283"/>
              <w:jc w:val="both"/>
              <w:rPr/>
            </w:pPr>
            <w:r>
              <w:rPr/>
              <w:t>In the case of an equality of votes, the Chairman shall be entitled to a second or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resolutions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13.18</w:t>
            </w:r>
          </w:p>
        </w:tc>
        <w:tc>
          <w:tcPr>
            <w:tcW w:w="9608" w:type="dxa"/>
            <w:tcBorders/>
            <w:vAlign w:val="center"/>
          </w:tcPr>
          <w:p>
            <w:pPr>
              <w:pStyle w:val="TableContents"/>
              <w:bidi w:val="0"/>
              <w:spacing w:before="0" w:after="283"/>
              <w:jc w:val="both"/>
              <w:rPr/>
            </w:pPr>
            <w:r>
              <w:rPr/>
              <w:t>An Ordinary Resolution to be proposed at a general meeting may be amended by Ordinary Resolution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not less than 48 hours before the meeting is to take place (or such later time as the chairman of the meeting may determine), notice of the proposed amendment is given to the Company in writing by a Member entitled to vote at that meeting;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the proposed amendment does not, in the reasonable opinion of the chairman of the meeting, materially alter the scope of the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13.19</w:t>
            </w:r>
          </w:p>
        </w:tc>
        <w:tc>
          <w:tcPr>
            <w:tcW w:w="9608" w:type="dxa"/>
            <w:tcBorders/>
            <w:vAlign w:val="center"/>
          </w:tcPr>
          <w:p>
            <w:pPr>
              <w:pStyle w:val="TableContents"/>
              <w:bidi w:val="0"/>
              <w:spacing w:before="0" w:after="283"/>
              <w:jc w:val="both"/>
              <w:rPr/>
            </w:pPr>
            <w:r>
              <w:rPr/>
              <w:t>A Special Resolution to be proposed at a general meeting may be amended by Ordinary Resolution,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the chairman of the meeting proposes the amendment at the general meeting at which the resolution is to be proposed,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the amendment does not go beyond what the chairman considers is necessary to correct a grammatical or other non-substantive error in the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13.20</w:t>
            </w:r>
          </w:p>
        </w:tc>
        <w:tc>
          <w:tcPr>
            <w:tcW w:w="9608" w:type="dxa"/>
            <w:tcBorders/>
            <w:vAlign w:val="center"/>
          </w:tcPr>
          <w:p>
            <w:pPr>
              <w:pStyle w:val="TableContents"/>
              <w:bidi w:val="0"/>
              <w:spacing w:before="0" w:after="283"/>
              <w:jc w:val="both"/>
              <w:rPr/>
            </w:pPr>
            <w:r>
              <w:rPr/>
              <w:t>If the chairman of the meeting, acting in good faith, wrongly decides that an amendment to a resolution is out of order, the chairman’s error does not invalidate the vote on that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13.21</w:t>
            </w:r>
          </w:p>
        </w:tc>
        <w:tc>
          <w:tcPr>
            <w:tcW w:w="9608" w:type="dxa"/>
            <w:tcBorders/>
            <w:vAlign w:val="center"/>
          </w:tcPr>
          <w:p>
            <w:pPr>
              <w:pStyle w:val="TableContents"/>
              <w:bidi w:val="0"/>
              <w:spacing w:before="0" w:after="283"/>
              <w:jc w:val="both"/>
              <w:rPr/>
            </w:pPr>
            <w:r>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955"/>
        <w:gridCol w:w="9111"/>
      </w:tblGrid>
      <w:tr>
        <w:trPr/>
        <w:tc>
          <w:tcPr>
            <w:tcW w:w="1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pPr>
            <w:r>
              <w:rPr/>
              <w:t>14</w:t>
            </w:r>
          </w:p>
        </w:tc>
        <w:tc>
          <w:tcPr>
            <w:tcW w:w="9111" w:type="dxa"/>
            <w:tcBorders/>
            <w:vAlign w:val="center"/>
          </w:tcPr>
          <w:p>
            <w:pPr>
              <w:pStyle w:val="TableContents"/>
              <w:bidi w:val="0"/>
              <w:spacing w:before="0" w:after="283"/>
              <w:jc w:val="both"/>
              <w:rPr/>
            </w:pPr>
            <w:r>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1000"/>
        <w:gridCol w:w="9119"/>
      </w:tblGrid>
      <w:tr>
        <w:trPr/>
        <w:tc>
          <w:tcPr>
            <w:tcW w:w="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pPr>
            <w:r>
              <w:rPr/>
              <w:t>14.2</w:t>
            </w:r>
          </w:p>
        </w:tc>
        <w:tc>
          <w:tcPr>
            <w:tcW w:w="9119" w:type="dxa"/>
            <w:tcBorders/>
            <w:vAlign w:val="center"/>
          </w:tcPr>
          <w:p>
            <w:pPr>
              <w:pStyle w:val="TableContents"/>
              <w:bidi w:val="0"/>
              <w:spacing w:before="0" w:after="283"/>
              <w:jc w:val="both"/>
              <w:rPr/>
            </w:pPr>
            <w:r>
              <w:rPr/>
              <w:t>Members may vote in person or by proxy.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Subject to Article 2.4, every Member shall have one vote for each Share he holds, unless any Share carries special voting rights.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No Member is bound to vote on his Shares or any of them; nor is he bound to vote each of his Shares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8" w:type="dxa"/>
            <w:tcBorders/>
            <w:vAlign w:val="center"/>
          </w:tcPr>
          <w:p>
            <w:pPr>
              <w:pStyle w:val="TableContents"/>
              <w:bidi w:val="0"/>
              <w:spacing w:before="0" w:after="283"/>
              <w:jc w:val="both"/>
              <w:rPr/>
            </w:pPr>
            <w:r>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60"/>
        <w:gridCol w:w="9706"/>
      </w:tblGrid>
      <w:tr>
        <w:trPr/>
        <w:tc>
          <w:tcPr>
            <w:tcW w:w="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14.6</w:t>
            </w:r>
          </w:p>
        </w:tc>
        <w:tc>
          <w:tcPr>
            <w:tcW w:w="9706" w:type="dxa"/>
            <w:tcBorders/>
            <w:vAlign w:val="center"/>
          </w:tcPr>
          <w:p>
            <w:pPr>
              <w:pStyle w:val="TableContents"/>
              <w:bidi w:val="0"/>
              <w:spacing w:before="0" w:after="283"/>
              <w:jc w:val="both"/>
              <w:rPr/>
            </w:pPr>
            <w:r>
              <w:rPr/>
              <w:t>Save where otherwise provided, a corporate Member must act by a duly authorised representative.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14.7</w:t>
            </w:r>
          </w:p>
        </w:tc>
        <w:tc>
          <w:tcPr>
            <w:tcW w:w="9728" w:type="dxa"/>
            <w:tcBorders/>
            <w:vAlign w:val="center"/>
          </w:tcPr>
          <w:p>
            <w:pPr>
              <w:pStyle w:val="TableContents"/>
              <w:bidi w:val="0"/>
              <w:spacing w:before="0" w:after="283"/>
              <w:jc w:val="both"/>
              <w:rPr/>
            </w:pPr>
            <w:r>
              <w:rPr/>
              <w:t>A corporate Member wishing to act by a duly authorised representative must identify that person to the Company by notice in writing.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14.8</w:t>
            </w:r>
          </w:p>
        </w:tc>
        <w:tc>
          <w:tcPr>
            <w:tcW w:w="9728" w:type="dxa"/>
            <w:tcBorders/>
            <w:vAlign w:val="center"/>
          </w:tcPr>
          <w:p>
            <w:pPr>
              <w:pStyle w:val="TableContents"/>
              <w:bidi w:val="0"/>
              <w:spacing w:before="0" w:after="283"/>
              <w:jc w:val="both"/>
              <w:rPr/>
            </w:pPr>
            <w:r>
              <w:rPr/>
              <w:t>The authorisation may be for any period of time, and must be delivered to the Company before the commencement of the meeting at which it is first used.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14.9</w:t>
            </w:r>
          </w:p>
        </w:tc>
        <w:tc>
          <w:tcPr>
            <w:tcW w:w="9728" w:type="dxa"/>
            <w:tcBorders/>
            <w:vAlign w:val="center"/>
          </w:tcPr>
          <w:p>
            <w:pPr>
              <w:pStyle w:val="TableContents"/>
              <w:bidi w:val="0"/>
              <w:spacing w:before="0" w:after="283"/>
              <w:jc w:val="both"/>
              <w:rPr/>
            </w:pPr>
            <w:r>
              <w:rPr/>
              <w:t>The Directors of the Company may require the production of any evidence which they consider necessary to determine the validity of the notice.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14.10</w:t>
            </w:r>
          </w:p>
        </w:tc>
        <w:tc>
          <w:tcPr>
            <w:tcW w:w="9608" w:type="dxa"/>
            <w:tcBorders/>
            <w:vAlign w:val="center"/>
          </w:tcPr>
          <w:p>
            <w:pPr>
              <w:pStyle w:val="TableContents"/>
              <w:bidi w:val="0"/>
              <w:spacing w:before="0" w:after="283"/>
              <w:jc w:val="both"/>
              <w:rPr/>
            </w:pPr>
            <w:r>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14.11</w:t>
            </w:r>
          </w:p>
        </w:tc>
        <w:tc>
          <w:tcPr>
            <w:tcW w:w="9608" w:type="dxa"/>
            <w:tcBorders/>
            <w:vAlign w:val="center"/>
          </w:tcPr>
          <w:p>
            <w:pPr>
              <w:pStyle w:val="TableContents"/>
              <w:bidi w:val="0"/>
              <w:spacing w:before="0" w:after="283"/>
              <w:jc w:val="both"/>
              <w:rPr/>
            </w:pPr>
            <w:r>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14.12</w:t>
            </w:r>
          </w:p>
        </w:tc>
        <w:tc>
          <w:tcPr>
            <w:tcW w:w="9608" w:type="dxa"/>
            <w:tcBorders/>
            <w:vAlign w:val="center"/>
          </w:tcPr>
          <w:p>
            <w:pPr>
              <w:pStyle w:val="TableContents"/>
              <w:bidi w:val="0"/>
              <w:spacing w:before="0" w:after="283"/>
              <w:jc w:val="both"/>
              <w:rPr/>
            </w:pPr>
            <w:r>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14.13</w:t>
            </w:r>
          </w:p>
        </w:tc>
        <w:tc>
          <w:tcPr>
            <w:tcW w:w="9608" w:type="dxa"/>
            <w:tcBorders/>
            <w:vAlign w:val="center"/>
          </w:tcPr>
          <w:p>
            <w:pPr>
              <w:pStyle w:val="TableContents"/>
              <w:bidi w:val="0"/>
              <w:spacing w:before="0" w:after="283"/>
              <w:jc w:val="both"/>
              <w:rPr/>
            </w:pPr>
            <w:r>
              <w:rPr/>
              <w:t xml:space="preserve">A Member in respect of whom an order has been made by any court having jurisdiction (whether in the Cayman Islands or elsewhere) in matters concerning mental disorder may vote, by that Member’s receiver, </w:t>
            </w:r>
            <w:r>
              <w:rPr>
                <w:i/>
              </w:rPr>
              <w:t>curator bonis</w:t>
            </w:r>
            <w:r>
              <w:rPr/>
              <w:t xml:space="preserve"> or other person authorised in that behalf appointed by that court.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14.14</w:t>
            </w:r>
          </w:p>
        </w:tc>
        <w:tc>
          <w:tcPr>
            <w:tcW w:w="9608" w:type="dxa"/>
            <w:tcBorders/>
            <w:vAlign w:val="center"/>
          </w:tcPr>
          <w:p>
            <w:pPr>
              <w:pStyle w:val="TableContents"/>
              <w:bidi w:val="0"/>
              <w:spacing w:before="0" w:after="283"/>
              <w:jc w:val="both"/>
              <w:rPr/>
            </w:pPr>
            <w:r>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14.15</w:t>
            </w:r>
          </w:p>
        </w:tc>
        <w:tc>
          <w:tcPr>
            <w:tcW w:w="9608" w:type="dxa"/>
            <w:tcBorders/>
            <w:vAlign w:val="center"/>
          </w:tcPr>
          <w:p>
            <w:pPr>
              <w:pStyle w:val="TableContents"/>
              <w:bidi w:val="0"/>
              <w:spacing w:before="0" w:after="283"/>
              <w:jc w:val="both"/>
              <w:rPr/>
            </w:pPr>
            <w:r>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14.16</w:t>
            </w:r>
          </w:p>
        </w:tc>
        <w:tc>
          <w:tcPr>
            <w:tcW w:w="9608" w:type="dxa"/>
            <w:tcBorders/>
            <w:vAlign w:val="center"/>
          </w:tcPr>
          <w:p>
            <w:pPr>
              <w:pStyle w:val="TableContents"/>
              <w:bidi w:val="0"/>
              <w:spacing w:before="0" w:after="283"/>
              <w:jc w:val="both"/>
              <w:rPr/>
            </w:pPr>
            <w:r>
              <w:rPr/>
              <w:t>An instrument appointing a proxy shall be in any common form or in any other form approved by the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738"/>
        <w:gridCol w:w="9418"/>
      </w:tblGrid>
      <w:tr>
        <w:trPr/>
        <w:tc>
          <w:tcPr>
            <w:tcW w:w="4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14.17</w:t>
            </w:r>
          </w:p>
        </w:tc>
        <w:tc>
          <w:tcPr>
            <w:tcW w:w="9418" w:type="dxa"/>
            <w:tcBorders/>
            <w:vAlign w:val="center"/>
          </w:tcPr>
          <w:p>
            <w:pPr>
              <w:pStyle w:val="TableContents"/>
              <w:bidi w:val="0"/>
              <w:spacing w:before="0" w:after="283"/>
              <w:jc w:val="both"/>
              <w:rPr/>
            </w:pPr>
            <w:r>
              <w:rPr/>
              <w:t>The instrument must be in writing and signed in one of the following ways: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334"/>
        <w:gridCol w:w="8687"/>
      </w:tblGrid>
      <w:tr>
        <w:trPr/>
        <w:tc>
          <w:tcPr>
            <w:tcW w:w="18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pPr>
            <w:r>
              <w:rPr/>
              <w:t>(a)</w:t>
            </w:r>
          </w:p>
        </w:tc>
        <w:tc>
          <w:tcPr>
            <w:tcW w:w="8687" w:type="dxa"/>
            <w:tcBorders/>
            <w:vAlign w:val="center"/>
          </w:tcPr>
          <w:p>
            <w:pPr>
              <w:pStyle w:val="TableContents"/>
              <w:bidi w:val="0"/>
              <w:spacing w:before="0" w:after="283"/>
              <w:jc w:val="both"/>
              <w:rPr/>
            </w:pPr>
            <w:r>
              <w:rPr/>
              <w:t>by the Member;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714"/>
        <w:gridCol w:w="9398"/>
      </w:tblGrid>
      <w:tr>
        <w:trPr/>
        <w:tc>
          <w:tcPr>
            <w:tcW w:w="9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pPr>
            <w:r>
              <w:rPr/>
              <w:t>(b)</w:t>
            </w:r>
          </w:p>
        </w:tc>
        <w:tc>
          <w:tcPr>
            <w:tcW w:w="9398" w:type="dxa"/>
            <w:tcBorders/>
            <w:vAlign w:val="center"/>
          </w:tcPr>
          <w:p>
            <w:pPr>
              <w:pStyle w:val="TableContents"/>
              <w:bidi w:val="0"/>
              <w:spacing w:before="0" w:after="283"/>
              <w:jc w:val="both"/>
              <w:rPr/>
            </w:pPr>
            <w:r>
              <w:rPr/>
              <w:t>by the Member’s authorised attorney;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both"/>
              <w:rPr/>
            </w:pPr>
            <w:r>
              <w:rPr/>
              <w:t>if the Member is a corporation or other body corporate, under seal or signed by an authorised officer, secretary or attorney.</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14.18</w:t>
            </w:r>
          </w:p>
        </w:tc>
        <w:tc>
          <w:tcPr>
            <w:tcW w:w="9608" w:type="dxa"/>
            <w:tcBorders/>
            <w:vAlign w:val="center"/>
          </w:tcPr>
          <w:p>
            <w:pPr>
              <w:pStyle w:val="TableContents"/>
              <w:bidi w:val="0"/>
              <w:spacing w:before="0" w:after="283"/>
              <w:jc w:val="both"/>
              <w:rPr/>
            </w:pPr>
            <w:r>
              <w:rPr/>
              <w:t>The Directors may require the production of any evidence which they consider necessary to determine the validity of any appointment of a proxy.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14.19</w:t>
            </w:r>
          </w:p>
        </w:tc>
        <w:tc>
          <w:tcPr>
            <w:tcW w:w="9608" w:type="dxa"/>
            <w:tcBorders/>
            <w:vAlign w:val="center"/>
          </w:tcPr>
          <w:p>
            <w:pPr>
              <w:pStyle w:val="TableContents"/>
              <w:bidi w:val="0"/>
              <w:spacing w:before="0" w:after="283"/>
              <w:jc w:val="both"/>
              <w:rPr/>
            </w:pPr>
            <w:r>
              <w:rPr/>
              <w:t>A Member may revoke the appointment of a proxy at any time by notice to the Company duly signed in accordance with Article 14.17.</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14.20</w:t>
            </w:r>
          </w:p>
        </w:tc>
        <w:tc>
          <w:tcPr>
            <w:tcW w:w="9608" w:type="dxa"/>
            <w:tcBorders/>
            <w:vAlign w:val="center"/>
          </w:tcPr>
          <w:p>
            <w:pPr>
              <w:pStyle w:val="TableContents"/>
              <w:bidi w:val="0"/>
              <w:spacing w:before="0" w:after="283"/>
              <w:jc w:val="both"/>
              <w:rPr/>
            </w:pPr>
            <w:r>
              <w:rPr/>
              <w:t>No revocation by a Member of the appointment of a proxy made in accordance with Article 14.19 will affect the validity of any acts carried out by the relevant proxy before the Directors of the Company had actual notice of the revocation.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14.21</w:t>
            </w:r>
          </w:p>
        </w:tc>
        <w:tc>
          <w:tcPr>
            <w:tcW w:w="9608" w:type="dxa"/>
            <w:tcBorders/>
            <w:vAlign w:val="center"/>
          </w:tcPr>
          <w:p>
            <w:pPr>
              <w:pStyle w:val="TableContents"/>
              <w:bidi w:val="0"/>
              <w:spacing w:before="0" w:after="283"/>
              <w:jc w:val="both"/>
              <w:rPr/>
            </w:pPr>
            <w:r>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9"/>
        <w:gridCol w:w="9752"/>
      </w:tblGrid>
      <w:tr>
        <w:trPr/>
        <w:tc>
          <w:tcPr>
            <w:tcW w:w="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(a)</w:t>
            </w:r>
          </w:p>
        </w:tc>
        <w:tc>
          <w:tcPr>
            <w:tcW w:w="9752" w:type="dxa"/>
            <w:tcBorders/>
            <w:vAlign w:val="center"/>
          </w:tcPr>
          <w:p>
            <w:pPr>
              <w:pStyle w:val="TableContents"/>
              <w:bidi w:val="0"/>
              <w:spacing w:before="0" w:after="283"/>
              <w:jc w:val="both"/>
              <w:rPr/>
            </w:pPr>
            <w:r>
              <w:rPr/>
              <w:t>In the case of an instrument in writing, it must be left at or sent by post:</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544"/>
        <w:gridCol w:w="9571"/>
      </w:tblGrid>
      <w:tr>
        <w:trPr/>
        <w:tc>
          <w:tcPr>
            <w:tcW w:w="9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(i)</w:t>
            </w:r>
          </w:p>
        </w:tc>
        <w:tc>
          <w:tcPr>
            <w:tcW w:w="9571" w:type="dxa"/>
            <w:tcBorders/>
            <w:vAlign w:val="center"/>
          </w:tcPr>
          <w:p>
            <w:pPr>
              <w:pStyle w:val="TableContents"/>
              <w:bidi w:val="0"/>
              <w:spacing w:before="0" w:after="283"/>
              <w:jc w:val="both"/>
              <w:rPr/>
            </w:pPr>
            <w:r>
              <w:rPr/>
              <w:t>to the registered office of the Company; or</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pPr>
            <w:r>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90"/>
        <w:gridCol w:w="9518"/>
      </w:tblGrid>
      <w:tr>
        <w:trPr/>
        <w:tc>
          <w:tcPr>
            <w:tcW w:w="9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(i)</w:t>
            </w:r>
          </w:p>
        </w:tc>
        <w:tc>
          <w:tcPr>
            <w:tcW w:w="9518" w:type="dxa"/>
            <w:tcBorders/>
            <w:vAlign w:val="center"/>
          </w:tcPr>
          <w:p>
            <w:pPr>
              <w:pStyle w:val="TableContents"/>
              <w:bidi w:val="0"/>
              <w:spacing w:before="0" w:after="283"/>
              <w:jc w:val="both"/>
              <w:rPr/>
            </w:pPr>
            <w:r>
              <w:rPr/>
              <w:t>in the notice convening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4"/>
        <w:gridCol w:w="9839"/>
      </w:tblGrid>
      <w:tr>
        <w:trPr/>
        <w:tc>
          <w:tcPr>
            <w:tcW w:w="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(ii)</w:t>
            </w:r>
          </w:p>
        </w:tc>
        <w:tc>
          <w:tcPr>
            <w:tcW w:w="9839" w:type="dxa"/>
            <w:tcBorders/>
            <w:vAlign w:val="center"/>
          </w:tcPr>
          <w:p>
            <w:pPr>
              <w:pStyle w:val="TableContents"/>
              <w:bidi w:val="0"/>
              <w:spacing w:before="0" w:after="283"/>
              <w:jc w:val="both"/>
              <w:rPr/>
            </w:pPr>
            <w:r>
              <w:rPr/>
              <w:t>in any form of appointment of a proxy sent out by the Company in relation to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21"/>
        <w:gridCol w:w="9739"/>
      </w:tblGrid>
      <w:tr>
        <w:trPr/>
        <w:tc>
          <w:tcPr>
            <w:tcW w:w="4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(iii)</w:t>
            </w:r>
          </w:p>
        </w:tc>
        <w:tc>
          <w:tcPr>
            <w:tcW w:w="9739" w:type="dxa"/>
            <w:tcBorders/>
            <w:vAlign w:val="center"/>
          </w:tcPr>
          <w:p>
            <w:pPr>
              <w:pStyle w:val="TableContents"/>
              <w:bidi w:val="0"/>
              <w:spacing w:before="0" w:after="283"/>
              <w:jc w:val="both"/>
              <w:rPr/>
            </w:pPr>
            <w:r>
              <w:rPr/>
              <w:t>in any invitation to appoint a proxy issued by the Company in relation to the meeting.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Notwithstanding Article 14.21(a) and Article 14.21(b), the chairman of the Company may, in any event at his discretion, direct that an instrument of proxy shall be deemed to have been duly deposited.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2126"/>
        <w:gridCol w:w="7935"/>
      </w:tblGrid>
      <w:tr>
        <w:trPr/>
        <w:tc>
          <w:tcPr>
            <w:tcW w:w="14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pPr>
            <w:r>
              <w:rPr/>
              <w:t>14.22</w:t>
            </w:r>
          </w:p>
        </w:tc>
        <w:tc>
          <w:tcPr>
            <w:tcW w:w="7935" w:type="dxa"/>
            <w:tcBorders/>
            <w:vAlign w:val="center"/>
          </w:tcPr>
          <w:p>
            <w:pPr>
              <w:pStyle w:val="TableContents"/>
              <w:bidi w:val="0"/>
              <w:spacing w:before="0" w:after="283"/>
              <w:jc w:val="both"/>
              <w:rPr/>
            </w:pPr>
            <w:r>
              <w:rPr/>
              <w:t>Where a poll is taken: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if it is taken more than seven Clear Days after it is demanded, the form of appointment of a proxy and any accompanying authority (or an Electronic Record of the same) must be delivered in accordance with Article 14.21 before the time appointed for the taking of the poll;</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if it to be taken within seven Clear Days after it was demanded, the form of appointment of a proxy and any accompanying authority (or an Electronic Record of the same) must be delivered in accordance with Article 14.21 before the time appointed for the taking of the poll.</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14.23</w:t>
            </w:r>
          </w:p>
        </w:tc>
        <w:tc>
          <w:tcPr>
            <w:tcW w:w="9608" w:type="dxa"/>
            <w:tcBorders/>
            <w:vAlign w:val="center"/>
          </w:tcPr>
          <w:p>
            <w:pPr>
              <w:pStyle w:val="TableContents"/>
              <w:bidi w:val="0"/>
              <w:spacing w:before="0" w:after="283"/>
              <w:jc w:val="both"/>
              <w:rPr/>
            </w:pPr>
            <w:r>
              <w:rPr/>
              <w:t>If the form of appointment of proxy is not delivered on time, it is (unless the chairman declares it to be duly deposited) invalid.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14.24</w:t>
            </w:r>
          </w:p>
        </w:tc>
        <w:tc>
          <w:tcPr>
            <w:tcW w:w="9608" w:type="dxa"/>
            <w:tcBorders/>
            <w:vAlign w:val="center"/>
          </w:tcPr>
          <w:p>
            <w:pPr>
              <w:pStyle w:val="TableContents"/>
              <w:bidi w:val="0"/>
              <w:spacing w:before="0" w:after="283"/>
              <w:jc w:val="both"/>
              <w:rPr/>
            </w:pPr>
            <w:r>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14.25</w:t>
            </w:r>
          </w:p>
        </w:tc>
        <w:tc>
          <w:tcPr>
            <w:tcW w:w="9608" w:type="dxa"/>
            <w:tcBorders/>
            <w:vAlign w:val="center"/>
          </w:tcPr>
          <w:p>
            <w:pPr>
              <w:pStyle w:val="TableContents"/>
              <w:bidi w:val="0"/>
              <w:spacing w:before="0" w:after="283"/>
              <w:jc w:val="both"/>
              <w:rPr/>
            </w:pPr>
            <w:r>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14.26</w:t>
            </w:r>
          </w:p>
        </w:tc>
        <w:tc>
          <w:tcPr>
            <w:tcW w:w="9608" w:type="dxa"/>
            <w:tcBorders/>
            <w:vAlign w:val="center"/>
          </w:tcPr>
          <w:p>
            <w:pPr>
              <w:pStyle w:val="TableContents"/>
              <w:bidi w:val="0"/>
              <w:spacing w:before="0" w:after="283"/>
              <w:jc w:val="both"/>
              <w:rPr/>
            </w:pPr>
            <w:r>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14.27</w:t>
            </w:r>
          </w:p>
        </w:tc>
        <w:tc>
          <w:tcPr>
            <w:tcW w:w="9608" w:type="dxa"/>
            <w:tcBorders/>
            <w:vAlign w:val="center"/>
          </w:tcPr>
          <w:p>
            <w:pPr>
              <w:pStyle w:val="TableContents"/>
              <w:bidi w:val="0"/>
              <w:spacing w:before="0" w:after="283"/>
              <w:jc w:val="both"/>
              <w:rPr/>
            </w:pPr>
            <w:r>
              <w:rPr/>
              <w:t>The instrument appointing a proxy to vote at a meeting shall be deemed also to confer authority to demand or join in demanding a poll and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155"/>
        <w:gridCol w:w="8882"/>
      </w:tblGrid>
      <w:tr>
        <w:trPr/>
        <w:tc>
          <w:tcPr>
            <w:tcW w:w="16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pPr>
            <w:r>
              <w:rPr/>
              <w:t>15</w:t>
            </w:r>
          </w:p>
        </w:tc>
        <w:tc>
          <w:tcPr>
            <w:tcW w:w="8882" w:type="dxa"/>
            <w:tcBorders/>
            <w:vAlign w:val="center"/>
          </w:tcPr>
          <w:p>
            <w:pPr>
              <w:pStyle w:val="TableContents"/>
              <w:bidi w:val="0"/>
              <w:spacing w:before="0" w:after="283"/>
              <w:jc w:val="both"/>
              <w:rPr/>
            </w:pPr>
            <w:r>
              <w:rPr/>
              <w:t>Number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There shall be a Board consisting of not less than one person provided however that the Company may by Ordinary Resolution increase or reduce the limits in the number of Directors. Unless fixed by Ordinary Resolution, the maximum number of Directors shall be seven.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78"/>
        <w:gridCol w:w="9658"/>
      </w:tblGrid>
      <w:tr>
        <w:trPr/>
        <w:tc>
          <w:tcPr>
            <w:tcW w:w="6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16</w:t>
            </w:r>
          </w:p>
        </w:tc>
        <w:tc>
          <w:tcPr>
            <w:tcW w:w="9658" w:type="dxa"/>
            <w:tcBorders/>
            <w:vAlign w:val="center"/>
          </w:tcPr>
          <w:p>
            <w:pPr>
              <w:pStyle w:val="TableContents"/>
              <w:bidi w:val="0"/>
              <w:spacing w:before="0" w:after="283"/>
              <w:jc w:val="both"/>
              <w:rPr/>
            </w:pPr>
            <w:r>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18"/>
        <w:gridCol w:w="9643"/>
      </w:tblGrid>
      <w:tr>
        <w:trPr/>
        <w:tc>
          <w:tcPr>
            <w:tcW w:w="4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16.1</w:t>
            </w:r>
          </w:p>
        </w:tc>
        <w:tc>
          <w:tcPr>
            <w:tcW w:w="9643" w:type="dxa"/>
            <w:tcBorders/>
            <w:vAlign w:val="center"/>
          </w:tcPr>
          <w:p>
            <w:pPr>
              <w:pStyle w:val="TableContents"/>
              <w:bidi w:val="0"/>
              <w:spacing w:before="0" w:after="283"/>
              <w:jc w:val="both"/>
              <w:rPr/>
            </w:pPr>
            <w:r>
              <w:rPr/>
              <w:t>There is no age limit for Directors save that they must be at least eighteen years of 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16.3</w:t>
            </w:r>
          </w:p>
        </w:tc>
        <w:tc>
          <w:tcPr>
            <w:tcW w:w="9728" w:type="dxa"/>
            <w:tcBorders/>
            <w:vAlign w:val="center"/>
          </w:tcPr>
          <w:p>
            <w:pPr>
              <w:pStyle w:val="TableContents"/>
              <w:bidi w:val="0"/>
              <w:spacing w:before="0" w:after="283"/>
              <w:jc w:val="both"/>
              <w:rPr/>
            </w:pPr>
            <w:r>
              <w:rPr/>
              <w:t>Unless a shareholding qualification for Directors is fixed by Ordinary Resolution, no Director shall be required to own Shares as a condition of his appointment.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16.4</w:t>
            </w:r>
          </w:p>
        </w:tc>
        <w:tc>
          <w:tcPr>
            <w:tcW w:w="9728" w:type="dxa"/>
            <w:tcBorders/>
            <w:vAlign w:val="center"/>
          </w:tcPr>
          <w:p>
            <w:pPr>
              <w:pStyle w:val="TableContents"/>
              <w:bidi w:val="0"/>
              <w:spacing w:before="0" w:after="283"/>
              <w:jc w:val="both"/>
              <w:rPr/>
            </w:pPr>
            <w:r>
              <w:rPr/>
              <w:t>The Directors shall not be divided into classes. All Directors shall hold office until the expiration of their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16.5</w:t>
            </w:r>
          </w:p>
        </w:tc>
        <w:tc>
          <w:tcPr>
            <w:tcW w:w="9728" w:type="dxa"/>
            <w:tcBorders/>
            <w:vAlign w:val="center"/>
          </w:tcPr>
          <w:p>
            <w:pPr>
              <w:pStyle w:val="TableContents"/>
              <w:bidi w:val="0"/>
              <w:spacing w:before="0" w:after="283"/>
              <w:jc w:val="both"/>
              <w:rPr/>
            </w:pPr>
            <w:r>
              <w:rPr/>
              <w:t>A Director may be appointed by Ordinary Resolution or by the Directors. Any appointment may be to fill a vacancy or as an additional Director.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61"/>
        <w:gridCol w:w="9705"/>
      </w:tblGrid>
      <w:tr>
        <w:trPr/>
        <w:tc>
          <w:tcPr>
            <w:tcW w:w="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16.6</w:t>
            </w:r>
          </w:p>
        </w:tc>
        <w:tc>
          <w:tcPr>
            <w:tcW w:w="9705" w:type="dxa"/>
            <w:tcBorders/>
            <w:vAlign w:val="center"/>
          </w:tcPr>
          <w:p>
            <w:pPr>
              <w:pStyle w:val="TableContents"/>
              <w:bidi w:val="0"/>
              <w:spacing w:before="0" w:after="283"/>
              <w:jc w:val="both"/>
              <w:rPr/>
            </w:pPr>
            <w:r>
              <w:rPr/>
              <w:t>The remaining Director(s) may appoint a Director even though there is not a quorum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16.7</w:t>
            </w:r>
          </w:p>
        </w:tc>
        <w:tc>
          <w:tcPr>
            <w:tcW w:w="9728" w:type="dxa"/>
            <w:tcBorders/>
            <w:vAlign w:val="center"/>
          </w:tcPr>
          <w:p>
            <w:pPr>
              <w:pStyle w:val="TableContents"/>
              <w:bidi w:val="0"/>
              <w:spacing w:before="0" w:after="283"/>
              <w:jc w:val="both"/>
              <w:rPr/>
            </w:pPr>
            <w:r>
              <w:rPr/>
              <w:t>No appointment can cause the number of Directors to exceed the maximum (if one is set); and any such appointment shall be invalid.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16.8</w:t>
            </w:r>
          </w:p>
        </w:tc>
        <w:tc>
          <w:tcPr>
            <w:tcW w:w="9728" w:type="dxa"/>
            <w:tcBorders/>
            <w:vAlign w:val="center"/>
          </w:tcPr>
          <w:p>
            <w:pPr>
              <w:pStyle w:val="TableContents"/>
              <w:bidi w:val="0"/>
              <w:spacing w:before="0" w:after="283"/>
              <w:jc w:val="both"/>
              <w:rPr/>
            </w:pPr>
            <w:r>
              <w:rPr/>
              <w:t>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 rules or regulations or the Designated Stock Exchange Rules, as determined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16.9</w:t>
            </w:r>
          </w:p>
        </w:tc>
        <w:tc>
          <w:tcPr>
            <w:tcW w:w="9728" w:type="dxa"/>
            <w:tcBorders/>
            <w:vAlign w:val="center"/>
          </w:tcPr>
          <w:p>
            <w:pPr>
              <w:pStyle w:val="TableContents"/>
              <w:bidi w:val="0"/>
              <w:spacing w:before="0" w:after="283"/>
              <w:jc w:val="both"/>
              <w:rPr/>
            </w:pPr>
            <w:r>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16.10</w:t>
            </w:r>
          </w:p>
        </w:tc>
        <w:tc>
          <w:tcPr>
            <w:tcW w:w="9608" w:type="dxa"/>
            <w:tcBorders/>
            <w:vAlign w:val="center"/>
          </w:tcPr>
          <w:p>
            <w:pPr>
              <w:pStyle w:val="TableContents"/>
              <w:bidi w:val="0"/>
              <w:spacing w:before="0" w:after="283"/>
              <w:jc w:val="both"/>
              <w:rPr/>
            </w:pPr>
            <w:r>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013"/>
        <w:gridCol w:w="9124"/>
      </w:tblGrid>
      <w:tr>
        <w:trPr/>
        <w:tc>
          <w:tcPr>
            <w:tcW w:w="6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pPr>
            <w:r>
              <w:rPr/>
              <w:t>16.11</w:t>
            </w:r>
          </w:p>
        </w:tc>
        <w:tc>
          <w:tcPr>
            <w:tcW w:w="9124" w:type="dxa"/>
            <w:tcBorders/>
            <w:vAlign w:val="center"/>
          </w:tcPr>
          <w:p>
            <w:pPr>
              <w:pStyle w:val="TableContents"/>
              <w:bidi w:val="0"/>
              <w:spacing w:before="0" w:after="283"/>
              <w:jc w:val="both"/>
              <w:rPr/>
            </w:pPr>
            <w:r>
              <w:rPr/>
              <w:t>A Director may be removed by Ordinary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16.12</w:t>
            </w:r>
          </w:p>
        </w:tc>
        <w:tc>
          <w:tcPr>
            <w:tcW w:w="9608" w:type="dxa"/>
            <w:tcBorders/>
            <w:vAlign w:val="center"/>
          </w:tcPr>
          <w:p>
            <w:pPr>
              <w:pStyle w:val="TableContents"/>
              <w:bidi w:val="0"/>
              <w:spacing w:before="0" w:after="283"/>
              <w:jc w:val="both"/>
              <w:rPr/>
            </w:pPr>
            <w:r>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16.13</w:t>
            </w:r>
          </w:p>
        </w:tc>
        <w:tc>
          <w:tcPr>
            <w:tcW w:w="9608" w:type="dxa"/>
            <w:tcBorders/>
            <w:vAlign w:val="center"/>
          </w:tcPr>
          <w:p>
            <w:pPr>
              <w:pStyle w:val="TableContents"/>
              <w:bidi w:val="0"/>
              <w:spacing w:before="0" w:after="283"/>
              <w:jc w:val="both"/>
              <w:rPr/>
            </w:pPr>
            <w:r>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16.14</w:t>
            </w:r>
          </w:p>
        </w:tc>
        <w:tc>
          <w:tcPr>
            <w:tcW w:w="9608" w:type="dxa"/>
            <w:tcBorders/>
            <w:vAlign w:val="center"/>
          </w:tcPr>
          <w:p>
            <w:pPr>
              <w:pStyle w:val="TableContents"/>
              <w:bidi w:val="0"/>
              <w:spacing w:before="0" w:after="283"/>
              <w:jc w:val="both"/>
              <w:rPr/>
            </w:pPr>
            <w:r>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16.15</w:t>
            </w:r>
          </w:p>
        </w:tc>
        <w:tc>
          <w:tcPr>
            <w:tcW w:w="9608" w:type="dxa"/>
            <w:tcBorders/>
            <w:vAlign w:val="center"/>
          </w:tcPr>
          <w:p>
            <w:pPr>
              <w:pStyle w:val="TableContents"/>
              <w:bidi w:val="0"/>
              <w:spacing w:before="0" w:after="283"/>
              <w:jc w:val="both"/>
              <w:rPr/>
            </w:pPr>
            <w:r>
              <w:rPr/>
              <w:t>Without prejudice to the provisions in these Articles for retirement (by rotation or otherwise), a Director’s office shall be terminated forthwith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63"/>
        <w:gridCol w:w="9793"/>
      </w:tblGrid>
      <w:tr>
        <w:trPr/>
        <w:tc>
          <w:tcPr>
            <w:tcW w:w="4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(a)</w:t>
            </w:r>
          </w:p>
        </w:tc>
        <w:tc>
          <w:tcPr>
            <w:tcW w:w="9793" w:type="dxa"/>
            <w:tcBorders/>
            <w:vAlign w:val="center"/>
          </w:tcPr>
          <w:p>
            <w:pPr>
              <w:pStyle w:val="TableContents"/>
              <w:bidi w:val="0"/>
              <w:spacing w:before="0" w:after="283"/>
              <w:jc w:val="both"/>
              <w:rPr/>
            </w:pPr>
            <w:r>
              <w:rPr/>
              <w:t>he is prohibited by the law of the Cayman Islands from acting as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5"/>
        <w:gridCol w:w="9838"/>
      </w:tblGrid>
      <w:tr>
        <w:trPr/>
        <w:tc>
          <w:tcPr>
            <w:tcW w:w="4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(b)</w:t>
            </w:r>
          </w:p>
        </w:tc>
        <w:tc>
          <w:tcPr>
            <w:tcW w:w="9838" w:type="dxa"/>
            <w:tcBorders/>
            <w:vAlign w:val="center"/>
          </w:tcPr>
          <w:p>
            <w:pPr>
              <w:pStyle w:val="TableContents"/>
              <w:bidi w:val="0"/>
              <w:spacing w:before="0" w:after="283"/>
              <w:jc w:val="both"/>
              <w:rPr/>
            </w:pPr>
            <w:r>
              <w:rPr/>
              <w:t>he is made bankrupt or makes an arrangement or composition with his creditors generally;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57"/>
        <w:gridCol w:w="9572"/>
      </w:tblGrid>
      <w:tr>
        <w:trPr/>
        <w:tc>
          <w:tcPr>
            <w:tcW w:w="7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(c)</w:t>
            </w:r>
          </w:p>
        </w:tc>
        <w:tc>
          <w:tcPr>
            <w:tcW w:w="9572" w:type="dxa"/>
            <w:tcBorders/>
            <w:vAlign w:val="center"/>
          </w:tcPr>
          <w:p>
            <w:pPr>
              <w:pStyle w:val="TableContents"/>
              <w:bidi w:val="0"/>
              <w:spacing w:before="0" w:after="283"/>
              <w:jc w:val="both"/>
              <w:rPr/>
            </w:pPr>
            <w:r>
              <w:rPr/>
              <w:t>he resigns his office by notice to the Company; or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3"/>
        <w:gridCol w:w="9750"/>
      </w:tblGrid>
      <w:tr>
        <w:trPr/>
        <w:tc>
          <w:tcPr>
            <w:tcW w:w="5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(d)</w:t>
            </w:r>
          </w:p>
        </w:tc>
        <w:tc>
          <w:tcPr>
            <w:tcW w:w="9750" w:type="dxa"/>
            <w:tcBorders/>
            <w:vAlign w:val="center"/>
          </w:tcPr>
          <w:p>
            <w:pPr>
              <w:pStyle w:val="TableContents"/>
              <w:bidi w:val="0"/>
              <w:spacing w:before="0" w:after="283"/>
              <w:jc w:val="both"/>
              <w:rPr/>
            </w:pPr>
            <w:r>
              <w:rPr/>
              <w:t>he only held office as a Director for a fixed term and such term expires;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(e)</w:t>
            </w:r>
          </w:p>
        </w:tc>
        <w:tc>
          <w:tcPr>
            <w:tcW w:w="9918" w:type="dxa"/>
            <w:tcBorders/>
            <w:vAlign w:val="center"/>
          </w:tcPr>
          <w:p>
            <w:pPr>
              <w:pStyle w:val="TableContents"/>
              <w:bidi w:val="0"/>
              <w:spacing w:before="0" w:after="283"/>
              <w:jc w:val="both"/>
              <w:rPr/>
            </w:pPr>
            <w:r>
              <w:rPr/>
              <w:t>in the opinion of a registered medical practitioner by whom he is being treated he becomes physically or mentally incapable of acting as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(f)</w:t>
            </w:r>
          </w:p>
        </w:tc>
        <w:tc>
          <w:tcPr>
            <w:tcW w:w="9968" w:type="dxa"/>
            <w:tcBorders/>
            <w:vAlign w:val="center"/>
          </w:tcPr>
          <w:p>
            <w:pPr>
              <w:pStyle w:val="TableContents"/>
              <w:bidi w:val="0"/>
              <w:spacing w:before="0" w:after="283"/>
              <w:jc w:val="both"/>
              <w:rPr/>
            </w:pPr>
            <w:r>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(g)</w:t>
            </w:r>
          </w:p>
        </w:tc>
        <w:tc>
          <w:tcPr>
            <w:tcW w:w="9884" w:type="dxa"/>
            <w:tcBorders/>
            <w:vAlign w:val="center"/>
          </w:tcPr>
          <w:p>
            <w:pPr>
              <w:pStyle w:val="TableContents"/>
              <w:bidi w:val="0"/>
              <w:spacing w:before="0" w:after="283"/>
              <w:jc w:val="both"/>
              <w:rPr/>
            </w:pPr>
            <w:r>
              <w:rPr/>
              <w:t>he is made subject to any law relating to mental health or incompetence, whether by court order or otherwise;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(h)</w:t>
            </w:r>
          </w:p>
        </w:tc>
        <w:tc>
          <w:tcPr>
            <w:tcW w:w="9890" w:type="dxa"/>
            <w:tcBorders/>
            <w:vAlign w:val="center"/>
          </w:tcPr>
          <w:p>
            <w:pPr>
              <w:pStyle w:val="TableContents"/>
              <w:bidi w:val="0"/>
              <w:spacing w:before="0" w:after="283"/>
              <w:jc w:val="both"/>
              <w:rPr/>
            </w:pPr>
            <w:r>
              <w:rPr/>
              <w:t>without the consent of the other Directors, he is absent from meetings of Directors for a continuous period of six months.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244"/>
        <w:gridCol w:w="8780"/>
      </w:tblGrid>
      <w:tr>
        <w:trPr/>
        <w:tc>
          <w:tcPr>
            <w:tcW w:w="18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pPr>
            <w:r>
              <w:rPr/>
              <w:t>17</w:t>
            </w:r>
          </w:p>
        </w:tc>
        <w:tc>
          <w:tcPr>
            <w:tcW w:w="8780" w:type="dxa"/>
            <w:tcBorders/>
            <w:vAlign w:val="center"/>
          </w:tcPr>
          <w:p>
            <w:pPr>
              <w:pStyle w:val="TableContents"/>
              <w:bidi w:val="0"/>
              <w:spacing w:before="0" w:after="283"/>
              <w:jc w:val="both"/>
              <w:rPr/>
            </w:pPr>
            <w:r>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Any Director may appoint any other person, including another Director, to act in his place as an alternate Director. No appointment shall take effect until the Director has given notice of the appointment to the Board. Such notice must be given to each other Director by either of the following methods: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59"/>
        <w:gridCol w:w="9683"/>
      </w:tblGrid>
      <w:tr>
        <w:trPr/>
        <w:tc>
          <w:tcPr>
            <w:tcW w:w="6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(a)</w:t>
            </w:r>
          </w:p>
        </w:tc>
        <w:tc>
          <w:tcPr>
            <w:tcW w:w="9683" w:type="dxa"/>
            <w:tcBorders/>
            <w:vAlign w:val="center"/>
          </w:tcPr>
          <w:p>
            <w:pPr>
              <w:pStyle w:val="TableContents"/>
              <w:bidi w:val="0"/>
              <w:spacing w:before="0" w:after="283"/>
              <w:jc w:val="both"/>
              <w:rPr/>
            </w:pPr>
            <w:r>
              <w:rPr/>
              <w:t>by notice in writing in accordance with the notice provisions;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if the other Director has an email address, by emailing to that address a scanned copy of the notice as a PDF attachment (the PDF version being deemed to be the notice unless Article 31.7 applies), in which event notice shall be taken to be given on the date of receipt by the recipient in readable form. For the avoidance of doubt, the same email may be sent to the email address of more than one Director (and to the email address of the Company pursuant to Article 17.4(c)).</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17.4.</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pPr>
            <w:r>
              <w:rPr/>
              <w:t>A Director may revoke his appointment of an alternate at any time. No revocation shall take effect until the Director has given notice of the revocation to the Board. Such notice must be given by either of the methods specified in Article 17.1.</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17.4</w:t>
            </w:r>
          </w:p>
        </w:tc>
        <w:tc>
          <w:tcPr>
            <w:tcW w:w="9728" w:type="dxa"/>
            <w:tcBorders/>
            <w:vAlign w:val="center"/>
          </w:tcPr>
          <w:p>
            <w:pPr>
              <w:pStyle w:val="TableContents"/>
              <w:bidi w:val="0"/>
              <w:spacing w:before="0" w:after="283"/>
              <w:jc w:val="both"/>
              <w:rPr/>
            </w:pPr>
            <w:r>
              <w:rPr/>
              <w:t>A notice of appointment or removal of an alternate Director shall be effective only if given to the Company by one or more of the following methods: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4"/>
        <w:gridCol w:w="9837"/>
      </w:tblGrid>
      <w:tr>
        <w:trPr/>
        <w:tc>
          <w:tcPr>
            <w:tcW w:w="4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(a)</w:t>
            </w:r>
          </w:p>
        </w:tc>
        <w:tc>
          <w:tcPr>
            <w:tcW w:w="9837" w:type="dxa"/>
            <w:tcBorders/>
            <w:vAlign w:val="center"/>
          </w:tcPr>
          <w:p>
            <w:pPr>
              <w:pStyle w:val="TableContents"/>
              <w:bidi w:val="0"/>
              <w:spacing w:before="0" w:after="283"/>
              <w:jc w:val="both"/>
              <w:rPr/>
            </w:pPr>
            <w:r>
              <w:rPr/>
              <w:t>by notice in writing in accordance with the notice provisions contained in these Articles;</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31.7 applies), in which event notice shall be taken to be given on the date of an error-free transmission report from the sender’s fax machine;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31.7 applies), in which event notice shall be taken to be given on the date of receipt by the Company or the Company’s registered office (as appropriate) in readable form;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(d)</w:t>
            </w:r>
          </w:p>
        </w:tc>
        <w:tc>
          <w:tcPr>
            <w:tcW w:w="9904" w:type="dxa"/>
            <w:tcBorders/>
            <w:vAlign w:val="center"/>
          </w:tcPr>
          <w:p>
            <w:pPr>
              <w:pStyle w:val="TableContents"/>
              <w:bidi w:val="0"/>
              <w:spacing w:before="0" w:after="283"/>
              <w:jc w:val="both"/>
              <w:rPr/>
            </w:pPr>
            <w:r>
              <w:rPr/>
              <w:t>if permitted pursuant to the notice provisions, in some other form of approved Electronic Record delivered in accordance with those provisions in writing.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17.5</w:t>
            </w:r>
          </w:p>
        </w:tc>
        <w:tc>
          <w:tcPr>
            <w:tcW w:w="9728" w:type="dxa"/>
            <w:tcBorders/>
            <w:vAlign w:val="center"/>
          </w:tcPr>
          <w:p>
            <w:pPr>
              <w:pStyle w:val="TableContents"/>
              <w:bidi w:val="0"/>
              <w:spacing w:before="0" w:after="283"/>
              <w:jc w:val="both"/>
              <w:rPr/>
            </w:pPr>
            <w:r>
              <w:rPr/>
              <w:t>All notices of meetings of Directors shall continue to be given to the appointing Director and not to the alternate.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17.6</w:t>
            </w:r>
          </w:p>
        </w:tc>
        <w:tc>
          <w:tcPr>
            <w:tcW w:w="9728" w:type="dxa"/>
            <w:tcBorders/>
            <w:vAlign w:val="center"/>
          </w:tcPr>
          <w:p>
            <w:pPr>
              <w:pStyle w:val="TableContents"/>
              <w:bidi w:val="0"/>
              <w:spacing w:before="0" w:after="283"/>
              <w:jc w:val="both"/>
              <w:rPr/>
            </w:pPr>
            <w:r>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709"/>
        <w:gridCol w:w="9435"/>
      </w:tblGrid>
      <w:tr>
        <w:trPr/>
        <w:tc>
          <w:tcPr>
            <w:tcW w:w="6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pPr>
            <w:r>
              <w:rPr/>
              <w:t>17.7</w:t>
            </w:r>
          </w:p>
        </w:tc>
        <w:tc>
          <w:tcPr>
            <w:tcW w:w="9435" w:type="dxa"/>
            <w:tcBorders/>
            <w:vAlign w:val="center"/>
          </w:tcPr>
          <w:p>
            <w:pPr>
              <w:pStyle w:val="TableContents"/>
              <w:bidi w:val="0"/>
              <w:spacing w:before="0" w:after="283"/>
              <w:jc w:val="both"/>
              <w:rPr/>
            </w:pPr>
            <w:r>
              <w:rPr/>
              <w:t>An alternate Director shall cease to be an alternate Director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78"/>
        <w:gridCol w:w="9661"/>
      </w:tblGrid>
      <w:tr>
        <w:trPr/>
        <w:tc>
          <w:tcPr>
            <w:tcW w:w="6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(a)</w:t>
            </w:r>
          </w:p>
        </w:tc>
        <w:tc>
          <w:tcPr>
            <w:tcW w:w="9661" w:type="dxa"/>
            <w:tcBorders/>
            <w:vAlign w:val="center"/>
          </w:tcPr>
          <w:p>
            <w:pPr>
              <w:pStyle w:val="TableContents"/>
              <w:bidi w:val="0"/>
              <w:spacing w:before="0" w:after="283"/>
              <w:jc w:val="both"/>
              <w:rPr/>
            </w:pPr>
            <w:r>
              <w:rPr/>
              <w:t>the Director who appointed him ceases to be a Director;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in any event happens in relation to him which, if he were a Director of the Company, would cause his office as Director to be vacated.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486"/>
        <w:gridCol w:w="9678"/>
      </w:tblGrid>
      <w:tr>
        <w:trPr/>
        <w:tc>
          <w:tcPr>
            <w:tcW w:w="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17.8</w:t>
            </w:r>
          </w:p>
        </w:tc>
        <w:tc>
          <w:tcPr>
            <w:tcW w:w="9678" w:type="dxa"/>
            <w:tcBorders/>
            <w:vAlign w:val="center"/>
          </w:tcPr>
          <w:p>
            <w:pPr>
              <w:pStyle w:val="TableContents"/>
              <w:bidi w:val="0"/>
              <w:spacing w:before="0" w:after="283"/>
              <w:jc w:val="both"/>
              <w:rPr/>
            </w:pPr>
            <w:r>
              <w:rPr/>
              <w:t>An alternate Director shall carry out all functions of the Director who made the appointment.</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17.9</w:t>
            </w:r>
          </w:p>
        </w:tc>
        <w:tc>
          <w:tcPr>
            <w:tcW w:w="9728" w:type="dxa"/>
            <w:tcBorders/>
            <w:vAlign w:val="center"/>
          </w:tcPr>
          <w:p>
            <w:pPr>
              <w:pStyle w:val="TableContents"/>
              <w:bidi w:val="0"/>
              <w:spacing w:before="0" w:after="283"/>
              <w:jc w:val="both"/>
              <w:rPr/>
            </w:pPr>
            <w:r>
              <w:rPr/>
              <w:t>Save where otherwise expressed, an alternate Director shall be treated as a Director under these Articles.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805"/>
        <w:gridCol w:w="9346"/>
      </w:tblGrid>
      <w:tr>
        <w:trPr/>
        <w:tc>
          <w:tcPr>
            <w:tcW w:w="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17.10</w:t>
            </w:r>
          </w:p>
        </w:tc>
        <w:tc>
          <w:tcPr>
            <w:tcW w:w="9346" w:type="dxa"/>
            <w:tcBorders/>
            <w:vAlign w:val="center"/>
          </w:tcPr>
          <w:p>
            <w:pPr>
              <w:pStyle w:val="TableContents"/>
              <w:bidi w:val="0"/>
              <w:spacing w:before="0" w:after="283"/>
              <w:jc w:val="both"/>
              <w:rPr/>
            </w:pPr>
            <w:r>
              <w:rPr/>
              <w:t>An alternate Director is not the agent of the Director appointing him.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644"/>
        <w:gridCol w:w="9518"/>
      </w:tblGrid>
      <w:tr>
        <w:trPr/>
        <w:tc>
          <w:tcPr>
            <w:tcW w:w="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17.11</w:t>
            </w:r>
          </w:p>
        </w:tc>
        <w:tc>
          <w:tcPr>
            <w:tcW w:w="9518" w:type="dxa"/>
            <w:tcBorders/>
            <w:vAlign w:val="center"/>
          </w:tcPr>
          <w:p>
            <w:pPr>
              <w:pStyle w:val="TableContents"/>
              <w:bidi w:val="0"/>
              <w:spacing w:before="0" w:after="283"/>
              <w:jc w:val="both"/>
              <w:rPr/>
            </w:pPr>
            <w:r>
              <w:rPr/>
              <w:t>An alternate Director is not entitled to any remuneration for acting as alternate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17.12</w:t>
            </w:r>
          </w:p>
        </w:tc>
        <w:tc>
          <w:tcPr>
            <w:tcW w:w="9608" w:type="dxa"/>
            <w:tcBorders/>
            <w:vAlign w:val="center"/>
          </w:tcPr>
          <w:p>
            <w:pPr>
              <w:pStyle w:val="TableContents"/>
              <w:bidi w:val="0"/>
              <w:spacing w:before="0" w:after="283"/>
              <w:jc w:val="both"/>
              <w:rPr/>
            </w:pPr>
            <w:r>
              <w:rPr/>
              <w:t>A Director who has appointed an alternate is not thereby relieved from the duties which he owes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193"/>
        <w:gridCol w:w="8838"/>
      </w:tblGrid>
      <w:tr>
        <w:trPr/>
        <w:tc>
          <w:tcPr>
            <w:tcW w:w="17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18</w:t>
            </w:r>
          </w:p>
        </w:tc>
        <w:tc>
          <w:tcPr>
            <w:tcW w:w="8838" w:type="dxa"/>
            <w:tcBorders/>
            <w:vAlign w:val="center"/>
          </w:tcPr>
          <w:p>
            <w:pPr>
              <w:pStyle w:val="TableContents"/>
              <w:bidi w:val="0"/>
              <w:spacing w:before="0" w:after="283"/>
              <w:jc w:val="both"/>
              <w:rPr/>
            </w:pPr>
            <w:r>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8" w:type="dxa"/>
            <w:tcBorders/>
            <w:vAlign w:val="center"/>
          </w:tcPr>
          <w:p>
            <w:pPr>
              <w:pStyle w:val="TableContents"/>
              <w:bidi w:val="0"/>
              <w:spacing w:before="0" w:after="283"/>
              <w:jc w:val="both"/>
              <w:rPr/>
            </w:pPr>
            <w:r>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18.3</w:t>
            </w:r>
          </w:p>
        </w:tc>
        <w:tc>
          <w:tcPr>
            <w:tcW w:w="9728" w:type="dxa"/>
            <w:tcBorders/>
            <w:vAlign w:val="center"/>
          </w:tcPr>
          <w:p>
            <w:pPr>
              <w:pStyle w:val="TableContents"/>
              <w:bidi w:val="0"/>
              <w:spacing w:before="0" w:after="283"/>
              <w:jc w:val="both"/>
              <w:rPr/>
            </w:pPr>
            <w:r>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091"/>
        <w:gridCol w:w="9020"/>
      </w:tblGrid>
      <w:tr>
        <w:trPr/>
        <w:tc>
          <w:tcPr>
            <w:tcW w:w="9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18.4</w:t>
            </w:r>
          </w:p>
        </w:tc>
        <w:tc>
          <w:tcPr>
            <w:tcW w:w="9020" w:type="dxa"/>
            <w:tcBorders/>
            <w:vAlign w:val="center"/>
          </w:tcPr>
          <w:p>
            <w:pPr>
              <w:pStyle w:val="TableContents"/>
              <w:bidi w:val="0"/>
              <w:spacing w:before="0" w:after="283"/>
              <w:jc w:val="both"/>
              <w:rPr/>
            </w:pPr>
            <w:r>
              <w:rPr/>
              <w:t>The Directors may appoint a Director: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10"/>
        <w:gridCol w:w="9056"/>
      </w:tblGrid>
      <w:tr>
        <w:trPr/>
        <w:tc>
          <w:tcPr>
            <w:tcW w:w="1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(a)</w:t>
            </w:r>
          </w:p>
        </w:tc>
        <w:tc>
          <w:tcPr>
            <w:tcW w:w="9056" w:type="dxa"/>
            <w:tcBorders/>
            <w:vAlign w:val="center"/>
          </w:tcPr>
          <w:p>
            <w:pPr>
              <w:pStyle w:val="TableContents"/>
              <w:bidi w:val="0"/>
              <w:spacing w:before="0" w:after="283"/>
              <w:jc w:val="both"/>
              <w:rPr/>
            </w:pPr>
            <w:r>
              <w:rPr/>
              <w:t>as chairman of the Board;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209"/>
        <w:gridCol w:w="8838"/>
      </w:tblGrid>
      <w:tr>
        <w:trPr/>
        <w:tc>
          <w:tcPr>
            <w:tcW w:w="15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(b)</w:t>
            </w:r>
          </w:p>
        </w:tc>
        <w:tc>
          <w:tcPr>
            <w:tcW w:w="8838" w:type="dxa"/>
            <w:tcBorders/>
            <w:vAlign w:val="center"/>
          </w:tcPr>
          <w:p>
            <w:pPr>
              <w:pStyle w:val="TableContents"/>
              <w:bidi w:val="0"/>
              <w:spacing w:before="0" w:after="283"/>
              <w:jc w:val="both"/>
              <w:rPr/>
            </w:pPr>
            <w:r>
              <w:rPr/>
              <w:t>as managing Director;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907"/>
        <w:gridCol w:w="9173"/>
      </w:tblGrid>
      <w:tr>
        <w:trPr/>
        <w:tc>
          <w:tcPr>
            <w:tcW w:w="12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pPr>
            <w:r>
              <w:rPr/>
              <w:t>(c)</w:t>
            </w:r>
          </w:p>
        </w:tc>
        <w:tc>
          <w:tcPr>
            <w:tcW w:w="9173" w:type="dxa"/>
            <w:tcBorders/>
            <w:vAlign w:val="center"/>
          </w:tcPr>
          <w:p>
            <w:pPr>
              <w:pStyle w:val="TableContents"/>
              <w:bidi w:val="0"/>
              <w:spacing w:before="0" w:after="283"/>
              <w:jc w:val="both"/>
              <w:rPr/>
            </w:pPr>
            <w:r>
              <w:rPr/>
              <w:t>to any other executive office,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722"/>
        <w:gridCol w:w="9421"/>
      </w:tblGrid>
      <w:tr>
        <w:trPr/>
        <w:tc>
          <w:tcPr>
            <w:tcW w:w="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18.5</w:t>
            </w:r>
          </w:p>
        </w:tc>
        <w:tc>
          <w:tcPr>
            <w:tcW w:w="9421" w:type="dxa"/>
            <w:tcBorders/>
            <w:vAlign w:val="center"/>
          </w:tcPr>
          <w:p>
            <w:pPr>
              <w:pStyle w:val="TableContents"/>
              <w:bidi w:val="0"/>
              <w:spacing w:before="0" w:after="283"/>
              <w:jc w:val="both"/>
              <w:rPr/>
            </w:pPr>
            <w:r>
              <w:rPr/>
              <w:t>The appointee must consent in writing to holding that office.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445"/>
        <w:gridCol w:w="9722"/>
      </w:tblGrid>
      <w:tr>
        <w:trPr/>
        <w:tc>
          <w:tcPr>
            <w:tcW w:w="3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18.6</w:t>
            </w:r>
          </w:p>
        </w:tc>
        <w:tc>
          <w:tcPr>
            <w:tcW w:w="9722" w:type="dxa"/>
            <w:tcBorders/>
            <w:vAlign w:val="center"/>
          </w:tcPr>
          <w:p>
            <w:pPr>
              <w:pStyle w:val="TableContents"/>
              <w:bidi w:val="0"/>
              <w:spacing w:before="0" w:after="283"/>
              <w:jc w:val="both"/>
              <w:rPr/>
            </w:pPr>
            <w:r>
              <w:rPr/>
              <w:t>Where a chairman is appointed he shall, unless unable to do so, preside at every meeting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18.7</w:t>
            </w:r>
          </w:p>
        </w:tc>
        <w:tc>
          <w:tcPr>
            <w:tcW w:w="9728" w:type="dxa"/>
            <w:tcBorders/>
            <w:vAlign w:val="center"/>
          </w:tcPr>
          <w:p>
            <w:pPr>
              <w:pStyle w:val="TableContents"/>
              <w:bidi w:val="0"/>
              <w:spacing w:before="0" w:after="283"/>
              <w:jc w:val="both"/>
              <w:rPr/>
            </w:pPr>
            <w:r>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18.8</w:t>
            </w:r>
          </w:p>
        </w:tc>
        <w:tc>
          <w:tcPr>
            <w:tcW w:w="9728" w:type="dxa"/>
            <w:tcBorders/>
            <w:vAlign w:val="center"/>
          </w:tcPr>
          <w:p>
            <w:pPr>
              <w:pStyle w:val="TableContents"/>
              <w:bidi w:val="0"/>
              <w:spacing w:before="0" w:after="283"/>
              <w:jc w:val="both"/>
              <w:rPr/>
            </w:pPr>
            <w:r>
              <w:rPr/>
              <w:t>Subject to the provisions of the Act, the Directors may also appoint and remove any person, who need not be a Director: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437"/>
        <w:gridCol w:w="8570"/>
      </w:tblGrid>
      <w:tr>
        <w:trPr/>
        <w:tc>
          <w:tcPr>
            <w:tcW w:w="1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pPr>
            <w:r>
              <w:rPr/>
              <w:t>(a)</w:t>
            </w:r>
          </w:p>
        </w:tc>
        <w:tc>
          <w:tcPr>
            <w:tcW w:w="8570" w:type="dxa"/>
            <w:tcBorders/>
            <w:vAlign w:val="center"/>
          </w:tcPr>
          <w:p>
            <w:pPr>
              <w:pStyle w:val="TableContents"/>
              <w:bidi w:val="0"/>
              <w:spacing w:before="0" w:after="283"/>
              <w:jc w:val="both"/>
              <w:rPr/>
            </w:pPr>
            <w:r>
              <w:rPr/>
              <w:t>as Secretary;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835"/>
        <w:gridCol w:w="9261"/>
      </w:tblGrid>
      <w:tr>
        <w:trPr/>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pPr>
            <w:r>
              <w:rPr/>
              <w:t>(b)</w:t>
            </w:r>
          </w:p>
        </w:tc>
        <w:tc>
          <w:tcPr>
            <w:tcW w:w="9261" w:type="dxa"/>
            <w:tcBorders/>
            <w:vAlign w:val="center"/>
          </w:tcPr>
          <w:p>
            <w:pPr>
              <w:pStyle w:val="TableContents"/>
              <w:bidi w:val="0"/>
              <w:spacing w:before="0" w:after="283"/>
              <w:jc w:val="both"/>
              <w:rPr/>
            </w:pPr>
            <w:r>
              <w:rPr/>
              <w:t>to any office that may be required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625"/>
        <w:gridCol w:w="9526"/>
      </w:tblGrid>
      <w:tr>
        <w:trPr/>
        <w:tc>
          <w:tcPr>
            <w:tcW w:w="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pPr>
            <w:r>
              <w:rPr/>
              <w:t>18.9</w:t>
            </w:r>
          </w:p>
        </w:tc>
        <w:tc>
          <w:tcPr>
            <w:tcW w:w="9526" w:type="dxa"/>
            <w:tcBorders/>
            <w:vAlign w:val="center"/>
          </w:tcPr>
          <w:p>
            <w:pPr>
              <w:pStyle w:val="TableContents"/>
              <w:bidi w:val="0"/>
              <w:spacing w:before="0" w:after="283"/>
              <w:jc w:val="both"/>
              <w:rPr/>
            </w:pPr>
            <w:r>
              <w:rPr/>
              <w:t>The Secretary or Officer must consent in writing to holding that office.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18.10</w:t>
            </w:r>
          </w:p>
        </w:tc>
        <w:tc>
          <w:tcPr>
            <w:tcW w:w="9608" w:type="dxa"/>
            <w:tcBorders/>
            <w:vAlign w:val="center"/>
          </w:tcPr>
          <w:p>
            <w:pPr>
              <w:pStyle w:val="TableContents"/>
              <w:bidi w:val="0"/>
              <w:spacing w:before="0" w:after="283"/>
              <w:jc w:val="both"/>
              <w:rPr/>
            </w:pPr>
            <w:r>
              <w:rPr/>
              <w:t>A Director, Secretary or other Officer of the Company may not hold the office, or perform the services, of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18.11</w:t>
            </w:r>
          </w:p>
        </w:tc>
        <w:tc>
          <w:tcPr>
            <w:tcW w:w="9608" w:type="dxa"/>
            <w:tcBorders/>
            <w:vAlign w:val="center"/>
          </w:tcPr>
          <w:p>
            <w:pPr>
              <w:pStyle w:val="TableContents"/>
              <w:bidi w:val="0"/>
              <w:spacing w:before="0" w:after="283"/>
              <w:jc w:val="both"/>
              <w:rPr/>
            </w:pPr>
            <w:r>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18.12</w:t>
            </w:r>
          </w:p>
        </w:tc>
        <w:tc>
          <w:tcPr>
            <w:tcW w:w="9608" w:type="dxa"/>
            <w:tcBorders/>
            <w:vAlign w:val="center"/>
          </w:tcPr>
          <w:p>
            <w:pPr>
              <w:pStyle w:val="TableContents"/>
              <w:bidi w:val="0"/>
              <w:spacing w:before="0" w:after="283"/>
              <w:jc w:val="both"/>
              <w:rPr/>
            </w:pPr>
            <w:r>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18.13</w:t>
            </w:r>
          </w:p>
        </w:tc>
        <w:tc>
          <w:tcPr>
            <w:tcW w:w="9608" w:type="dxa"/>
            <w:tcBorders/>
            <w:vAlign w:val="center"/>
          </w:tcPr>
          <w:p>
            <w:pPr>
              <w:pStyle w:val="TableContents"/>
              <w:bidi w:val="0"/>
              <w:spacing w:before="0" w:after="283"/>
              <w:jc w:val="both"/>
              <w:rPr/>
            </w:pPr>
            <w:r>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18.14</w:t>
            </w:r>
          </w:p>
        </w:tc>
        <w:tc>
          <w:tcPr>
            <w:tcW w:w="9608" w:type="dxa"/>
            <w:tcBorders/>
            <w:vAlign w:val="center"/>
          </w:tcPr>
          <w:p>
            <w:pPr>
              <w:pStyle w:val="TableContents"/>
              <w:bidi w:val="0"/>
              <w:spacing w:before="0" w:after="283"/>
              <w:jc w:val="both"/>
              <w:rPr/>
            </w:pPr>
            <w:r>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18.15</w:t>
            </w:r>
          </w:p>
        </w:tc>
        <w:tc>
          <w:tcPr>
            <w:tcW w:w="9608" w:type="dxa"/>
            <w:tcBorders/>
            <w:vAlign w:val="center"/>
          </w:tcPr>
          <w:p>
            <w:pPr>
              <w:pStyle w:val="TableContents"/>
              <w:bidi w:val="0"/>
              <w:spacing w:before="0" w:after="283"/>
              <w:jc w:val="both"/>
              <w:rPr/>
            </w:pPr>
            <w:r>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18.16</w:t>
            </w:r>
          </w:p>
        </w:tc>
        <w:tc>
          <w:tcPr>
            <w:tcW w:w="9608" w:type="dxa"/>
            <w:tcBorders/>
            <w:vAlign w:val="center"/>
          </w:tcPr>
          <w:p>
            <w:pPr>
              <w:pStyle w:val="TableContents"/>
              <w:bidi w:val="0"/>
              <w:spacing w:before="0" w:after="283"/>
              <w:jc w:val="both"/>
              <w:rPr/>
            </w:pPr>
            <w:r>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18.17</w:t>
            </w:r>
          </w:p>
        </w:tc>
        <w:tc>
          <w:tcPr>
            <w:tcW w:w="9608" w:type="dxa"/>
            <w:tcBorders/>
            <w:vAlign w:val="center"/>
          </w:tcPr>
          <w:p>
            <w:pPr>
              <w:pStyle w:val="TableContents"/>
              <w:bidi w:val="0"/>
              <w:spacing w:before="0" w:after="283"/>
              <w:jc w:val="both"/>
              <w:rPr/>
            </w:pPr>
            <w:r>
              <w:rPr/>
              <w:t>Subject to the compliance with Applicable Laws, including the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Company or that person, as the case may be, is lawfully required to do so under the laws of any jurisdiction to which the Company is subject;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76"/>
        <w:gridCol w:w="9780"/>
      </w:tblGrid>
      <w:tr>
        <w:trPr/>
        <w:tc>
          <w:tcPr>
            <w:tcW w:w="4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(b)</w:t>
            </w:r>
          </w:p>
        </w:tc>
        <w:tc>
          <w:tcPr>
            <w:tcW w:w="9780" w:type="dxa"/>
            <w:tcBorders/>
            <w:vAlign w:val="center"/>
          </w:tcPr>
          <w:p>
            <w:pPr>
              <w:pStyle w:val="TableContents"/>
              <w:bidi w:val="0"/>
              <w:spacing w:before="0" w:after="283"/>
              <w:jc w:val="both"/>
              <w:rPr/>
            </w:pPr>
            <w:r>
              <w:rPr/>
              <w:t>such disclosure is in compliance with the Designated Stock Exchange Rules;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3"/>
        <w:gridCol w:w="9815"/>
      </w:tblGrid>
      <w:tr>
        <w:trPr/>
        <w:tc>
          <w:tcPr>
            <w:tcW w:w="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(c)</w:t>
            </w:r>
          </w:p>
        </w:tc>
        <w:tc>
          <w:tcPr>
            <w:tcW w:w="9815" w:type="dxa"/>
            <w:tcBorders/>
            <w:vAlign w:val="center"/>
          </w:tcPr>
          <w:p>
            <w:pPr>
              <w:pStyle w:val="TableContents"/>
              <w:bidi w:val="0"/>
              <w:spacing w:before="0" w:after="283"/>
              <w:jc w:val="both"/>
              <w:rPr/>
            </w:pPr>
            <w:r>
              <w:rPr/>
              <w:t>such disclosure is in accordance with any contract entered into by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5"/>
        <w:gridCol w:w="9861"/>
      </w:tblGrid>
      <w:tr>
        <w:trPr/>
        <w:tc>
          <w:tcPr>
            <w:tcW w:w="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(d)</w:t>
            </w:r>
          </w:p>
        </w:tc>
        <w:tc>
          <w:tcPr>
            <w:tcW w:w="9861" w:type="dxa"/>
            <w:tcBorders/>
            <w:vAlign w:val="center"/>
          </w:tcPr>
          <w:p>
            <w:pPr>
              <w:pStyle w:val="TableContents"/>
              <w:bidi w:val="0"/>
              <w:spacing w:before="0" w:after="283"/>
              <w:jc w:val="both"/>
              <w:rPr/>
            </w:pPr>
            <w:r>
              <w:rPr/>
              <w:t>the Directors are of the opinion such disclosure would assist or facilitate the Company’s operations.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118"/>
        <w:gridCol w:w="8924"/>
      </w:tblGrid>
      <w:tr>
        <w:trPr/>
        <w:tc>
          <w:tcPr>
            <w:tcW w:w="16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pPr>
            <w:r>
              <w:rPr/>
              <w:t>19</w:t>
            </w:r>
          </w:p>
        </w:tc>
        <w:tc>
          <w:tcPr>
            <w:tcW w:w="8924" w:type="dxa"/>
            <w:tcBorders/>
            <w:vAlign w:val="center"/>
          </w:tcPr>
          <w:p>
            <w:pPr>
              <w:pStyle w:val="TableContents"/>
              <w:bidi w:val="0"/>
              <w:spacing w:before="0" w:after="283"/>
              <w:jc w:val="both"/>
              <w:rPr/>
            </w:pPr>
            <w:r>
              <w:rPr/>
              <w:t>Delegation of powers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06"/>
        <w:gridCol w:w="9656"/>
      </w:tblGrid>
      <w:tr>
        <w:trPr/>
        <w:tc>
          <w:tcPr>
            <w:tcW w:w="4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19.2</w:t>
            </w:r>
          </w:p>
        </w:tc>
        <w:tc>
          <w:tcPr>
            <w:tcW w:w="9656" w:type="dxa"/>
            <w:tcBorders/>
            <w:vAlign w:val="center"/>
          </w:tcPr>
          <w:p>
            <w:pPr>
              <w:pStyle w:val="TableContents"/>
              <w:bidi w:val="0"/>
              <w:spacing w:before="0" w:after="283"/>
              <w:jc w:val="both"/>
              <w:rPr/>
            </w:pPr>
            <w:r>
              <w:rPr/>
              <w:t>The delegation may be collateral with, or to the exclusion of, the Directors’ own powers.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19.3</w:t>
            </w:r>
          </w:p>
        </w:tc>
        <w:tc>
          <w:tcPr>
            <w:tcW w:w="9728" w:type="dxa"/>
            <w:tcBorders/>
            <w:vAlign w:val="center"/>
          </w:tcPr>
          <w:p>
            <w:pPr>
              <w:pStyle w:val="TableContents"/>
              <w:bidi w:val="0"/>
              <w:spacing w:before="0" w:after="283"/>
              <w:jc w:val="both"/>
              <w:rPr/>
            </w:pPr>
            <w:r>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19.4</w:t>
            </w:r>
          </w:p>
        </w:tc>
        <w:tc>
          <w:tcPr>
            <w:tcW w:w="9728" w:type="dxa"/>
            <w:tcBorders/>
            <w:vAlign w:val="center"/>
          </w:tcPr>
          <w:p>
            <w:pPr>
              <w:pStyle w:val="TableContents"/>
              <w:bidi w:val="0"/>
              <w:spacing w:before="0" w:after="283"/>
              <w:jc w:val="both"/>
              <w:rPr/>
            </w:pPr>
            <w:r>
              <w:rPr/>
              <w:t>Unless otherwise permitted by the Directors, a committee must follow the procedures prescribed for the taking of decisions by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19.5</w:t>
            </w:r>
          </w:p>
        </w:tc>
        <w:tc>
          <w:tcPr>
            <w:tcW w:w="9728" w:type="dxa"/>
            <w:tcBorders/>
            <w:vAlign w:val="center"/>
          </w:tcPr>
          <w:p>
            <w:pPr>
              <w:pStyle w:val="TableContents"/>
              <w:bidi w:val="0"/>
              <w:spacing w:before="0" w:after="283"/>
              <w:jc w:val="both"/>
              <w:rPr/>
            </w:pPr>
            <w:r>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committees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19.6</w:t>
            </w:r>
          </w:p>
        </w:tc>
        <w:tc>
          <w:tcPr>
            <w:tcW w:w="9728" w:type="dxa"/>
            <w:tcBorders/>
            <w:vAlign w:val="center"/>
          </w:tcPr>
          <w:p>
            <w:pPr>
              <w:pStyle w:val="TableContents"/>
              <w:bidi w:val="0"/>
              <w:spacing w:before="0" w:after="283"/>
              <w:jc w:val="both"/>
              <w:rPr/>
            </w:pPr>
            <w:r>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19.7</w:t>
            </w:r>
          </w:p>
        </w:tc>
        <w:tc>
          <w:tcPr>
            <w:tcW w:w="9728" w:type="dxa"/>
            <w:tcBorders/>
            <w:vAlign w:val="center"/>
          </w:tcPr>
          <w:p>
            <w:pPr>
              <w:pStyle w:val="TableContents"/>
              <w:bidi w:val="0"/>
              <w:spacing w:before="0" w:after="283"/>
              <w:jc w:val="both"/>
              <w:rPr/>
            </w:pPr>
            <w:r>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19.8</w:t>
            </w:r>
          </w:p>
        </w:tc>
        <w:tc>
          <w:tcPr>
            <w:tcW w:w="9728" w:type="dxa"/>
            <w:tcBorders/>
            <w:vAlign w:val="center"/>
          </w:tcPr>
          <w:p>
            <w:pPr>
              <w:pStyle w:val="TableContents"/>
              <w:bidi w:val="0"/>
              <w:spacing w:before="0" w:after="283"/>
              <w:jc w:val="both"/>
              <w:rPr/>
            </w:pPr>
            <w:r>
              <w:rPr/>
              <w:t>Any appointment or delegation under this Article 19.8 may be made on such terms and subject to such conditions as the Board thinks fit and the Board may remove any person so appointed, and may revoke or vary any delegation.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19.9</w:t>
            </w:r>
          </w:p>
        </w:tc>
        <w:tc>
          <w:tcPr>
            <w:tcW w:w="9728" w:type="dxa"/>
            <w:tcBorders/>
            <w:vAlign w:val="center"/>
          </w:tcPr>
          <w:p>
            <w:pPr>
              <w:pStyle w:val="TableContents"/>
              <w:bidi w:val="0"/>
              <w:spacing w:before="0" w:after="283"/>
              <w:jc w:val="both"/>
              <w:rPr/>
            </w:pPr>
            <w:r>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79"/>
        <w:gridCol w:w="9774"/>
      </w:tblGrid>
      <w:tr>
        <w:trPr/>
        <w:tc>
          <w:tcPr>
            <w:tcW w:w="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(a)</w:t>
            </w:r>
          </w:p>
        </w:tc>
        <w:tc>
          <w:tcPr>
            <w:tcW w:w="9774" w:type="dxa"/>
            <w:tcBorders/>
            <w:vAlign w:val="center"/>
          </w:tcPr>
          <w:p>
            <w:pPr>
              <w:pStyle w:val="TableContents"/>
              <w:bidi w:val="0"/>
              <w:spacing w:before="0" w:after="283"/>
              <w:jc w:val="both"/>
              <w:rPr/>
            </w:pPr>
            <w:r>
              <w:rPr/>
              <w:t>by causing the Company to enter into a power of attorney or agreement;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86"/>
        <w:gridCol w:w="9317"/>
      </w:tblGrid>
      <w:tr>
        <w:trPr/>
        <w:tc>
          <w:tcPr>
            <w:tcW w:w="10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(b)</w:t>
            </w:r>
          </w:p>
        </w:tc>
        <w:tc>
          <w:tcPr>
            <w:tcW w:w="9317" w:type="dxa"/>
            <w:tcBorders/>
            <w:vAlign w:val="center"/>
          </w:tcPr>
          <w:p>
            <w:pPr>
              <w:pStyle w:val="TableContents"/>
              <w:bidi w:val="0"/>
              <w:spacing w:before="0" w:after="283"/>
              <w:jc w:val="both"/>
              <w:rPr/>
            </w:pPr>
            <w:r>
              <w:rPr/>
              <w:t>in any other manner they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19.10</w:t>
            </w:r>
          </w:p>
        </w:tc>
        <w:tc>
          <w:tcPr>
            <w:tcW w:w="9608" w:type="dxa"/>
            <w:tcBorders/>
            <w:vAlign w:val="center"/>
          </w:tcPr>
          <w:p>
            <w:pPr>
              <w:pStyle w:val="TableContents"/>
              <w:bidi w:val="0"/>
              <w:spacing w:before="0" w:after="283"/>
              <w:jc w:val="both"/>
              <w:rPr/>
            </w:pPr>
            <w:r>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483"/>
        <w:gridCol w:w="8518"/>
      </w:tblGrid>
      <w:tr>
        <w:trPr/>
        <w:tc>
          <w:tcPr>
            <w:tcW w:w="20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pPr>
            <w:r>
              <w:rPr/>
              <w:t>(a)</w:t>
            </w:r>
          </w:p>
        </w:tc>
        <w:tc>
          <w:tcPr>
            <w:tcW w:w="8518" w:type="dxa"/>
            <w:tcBorders/>
            <w:vAlign w:val="center"/>
          </w:tcPr>
          <w:p>
            <w:pPr>
              <w:pStyle w:val="TableContents"/>
              <w:bidi w:val="0"/>
              <w:spacing w:before="0" w:after="283"/>
              <w:jc w:val="both"/>
              <w:rPr/>
            </w:pPr>
            <w:r>
              <w:rPr/>
              <w:t>for any purpose;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57"/>
        <w:gridCol w:w="9462"/>
      </w:tblGrid>
      <w:tr>
        <w:trPr/>
        <w:tc>
          <w:tcPr>
            <w:tcW w:w="8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(b)</w:t>
            </w:r>
          </w:p>
        </w:tc>
        <w:tc>
          <w:tcPr>
            <w:tcW w:w="9462" w:type="dxa"/>
            <w:tcBorders/>
            <w:vAlign w:val="center"/>
          </w:tcPr>
          <w:p>
            <w:pPr>
              <w:pStyle w:val="TableContents"/>
              <w:bidi w:val="0"/>
              <w:spacing w:before="0" w:after="283"/>
              <w:jc w:val="both"/>
              <w:rPr/>
            </w:pPr>
            <w:r>
              <w:rPr/>
              <w:t>with the powers, authorities and discretions;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344"/>
        <w:gridCol w:w="8676"/>
      </w:tblGrid>
      <w:tr>
        <w:trPr/>
        <w:tc>
          <w:tcPr>
            <w:tcW w:w="18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pPr>
            <w:r>
              <w:rPr/>
              <w:t>(c)</w:t>
            </w:r>
          </w:p>
        </w:tc>
        <w:tc>
          <w:tcPr>
            <w:tcW w:w="8676" w:type="dxa"/>
            <w:tcBorders/>
            <w:vAlign w:val="center"/>
          </w:tcPr>
          <w:p>
            <w:pPr>
              <w:pStyle w:val="TableContents"/>
              <w:bidi w:val="0"/>
              <w:spacing w:before="0" w:after="283"/>
              <w:jc w:val="both"/>
              <w:rPr/>
            </w:pPr>
            <w:r>
              <w:rPr/>
              <w:t>for the period;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060"/>
        <w:gridCol w:w="9007"/>
      </w:tblGrid>
      <w:tr>
        <w:trPr/>
        <w:tc>
          <w:tcPr>
            <w:tcW w:w="1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pPr>
            <w:r>
              <w:rPr/>
              <w:t>(d)</w:t>
            </w:r>
          </w:p>
        </w:tc>
        <w:tc>
          <w:tcPr>
            <w:tcW w:w="9007" w:type="dxa"/>
            <w:tcBorders/>
            <w:vAlign w:val="center"/>
          </w:tcPr>
          <w:p>
            <w:pPr>
              <w:pStyle w:val="TableContents"/>
              <w:bidi w:val="0"/>
              <w:spacing w:before="0" w:after="283"/>
              <w:jc w:val="both"/>
              <w:rPr/>
            </w:pPr>
            <w:r>
              <w:rPr/>
              <w:t>subject to such conditions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19.11</w:t>
            </w:r>
          </w:p>
        </w:tc>
        <w:tc>
          <w:tcPr>
            <w:tcW w:w="9608" w:type="dxa"/>
            <w:tcBorders/>
            <w:vAlign w:val="center"/>
          </w:tcPr>
          <w:p>
            <w:pPr>
              <w:pStyle w:val="TableContents"/>
              <w:bidi w:val="0"/>
              <w:spacing w:before="0" w:after="283"/>
              <w:jc w:val="both"/>
              <w:rPr/>
            </w:pPr>
            <w:r>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19.12</w:t>
            </w:r>
          </w:p>
        </w:tc>
        <w:tc>
          <w:tcPr>
            <w:tcW w:w="9608" w:type="dxa"/>
            <w:tcBorders/>
            <w:vAlign w:val="center"/>
          </w:tcPr>
          <w:p>
            <w:pPr>
              <w:pStyle w:val="TableContents"/>
              <w:bidi w:val="0"/>
              <w:spacing w:before="0" w:after="283"/>
              <w:jc w:val="both"/>
              <w:rPr/>
            </w:pPr>
            <w:r>
              <w:rPr/>
              <w:t>The Board may remove any person appointed under Article 19.10 and may revoke or vary the delegation.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19.13</w:t>
            </w:r>
          </w:p>
        </w:tc>
        <w:tc>
          <w:tcPr>
            <w:tcW w:w="9608" w:type="dxa"/>
            <w:tcBorders/>
            <w:vAlign w:val="center"/>
          </w:tcPr>
          <w:p>
            <w:pPr>
              <w:pStyle w:val="TableContents"/>
              <w:bidi w:val="0"/>
              <w:spacing w:before="0" w:after="283"/>
              <w:jc w:val="both"/>
              <w:rPr/>
            </w:pPr>
            <w:r>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19.14</w:t>
            </w:r>
          </w:p>
        </w:tc>
        <w:tc>
          <w:tcPr>
            <w:tcW w:w="9608" w:type="dxa"/>
            <w:tcBorders/>
            <w:vAlign w:val="center"/>
          </w:tcPr>
          <w:p>
            <w:pPr>
              <w:pStyle w:val="TableContents"/>
              <w:bidi w:val="0"/>
              <w:spacing w:before="0" w:after="283"/>
              <w:jc w:val="both"/>
              <w:rPr/>
            </w:pPr>
            <w:r>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111"/>
        <w:gridCol w:w="8932"/>
      </w:tblGrid>
      <w:tr>
        <w:trPr/>
        <w:tc>
          <w:tcPr>
            <w:tcW w:w="1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20</w:t>
            </w:r>
          </w:p>
        </w:tc>
        <w:tc>
          <w:tcPr>
            <w:tcW w:w="8932" w:type="dxa"/>
            <w:tcBorders/>
            <w:vAlign w:val="center"/>
          </w:tcPr>
          <w:p>
            <w:pPr>
              <w:pStyle w:val="TableContents"/>
              <w:bidi w:val="0"/>
              <w:spacing w:before="0" w:after="283"/>
              <w:jc w:val="both"/>
              <w:rPr/>
            </w:pPr>
            <w:r>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Subject to the provisions of these Articles, the Directors may regulate their proceedings as they think 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8" w:type="dxa"/>
            <w:tcBorders/>
            <w:vAlign w:val="center"/>
          </w:tcPr>
          <w:p>
            <w:pPr>
              <w:pStyle w:val="TableContents"/>
              <w:bidi w:val="0"/>
              <w:spacing w:before="0" w:after="283"/>
              <w:jc w:val="both"/>
              <w:rPr/>
            </w:pPr>
            <w:r>
              <w:rPr/>
              <w:t>Any Director may call a meeting of Directors at any time. The Secretary must call a meeting of the Directors if requested to do so by a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8" w:type="dxa"/>
            <w:tcBorders/>
            <w:vAlign w:val="center"/>
          </w:tcPr>
          <w:p>
            <w:pPr>
              <w:pStyle w:val="TableContents"/>
              <w:bidi w:val="0"/>
              <w:spacing w:before="0" w:after="283"/>
              <w:jc w:val="both"/>
              <w:rPr/>
            </w:pPr>
            <w:r>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20.4</w:t>
            </w:r>
          </w:p>
        </w:tc>
        <w:tc>
          <w:tcPr>
            <w:tcW w:w="9728" w:type="dxa"/>
            <w:tcBorders/>
            <w:vAlign w:val="center"/>
          </w:tcPr>
          <w:p>
            <w:pPr>
              <w:pStyle w:val="TableContents"/>
              <w:bidi w:val="0"/>
              <w:spacing w:before="0" w:after="283"/>
              <w:jc w:val="both"/>
              <w:rPr/>
            </w:pPr>
            <w:r>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29"/>
        <w:gridCol w:w="9631"/>
      </w:tblGrid>
      <w:tr>
        <w:trPr/>
        <w:tc>
          <w:tcPr>
            <w:tcW w:w="4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20.5</w:t>
            </w:r>
          </w:p>
        </w:tc>
        <w:tc>
          <w:tcPr>
            <w:tcW w:w="9631" w:type="dxa"/>
            <w:tcBorders/>
            <w:vAlign w:val="center"/>
          </w:tcPr>
          <w:p>
            <w:pPr>
              <w:pStyle w:val="TableContents"/>
              <w:bidi w:val="0"/>
              <w:spacing w:before="0" w:after="283"/>
              <w:jc w:val="both"/>
              <w:rPr/>
            </w:pPr>
            <w:r>
              <w:rPr/>
              <w:t>A Director participating in this way is deemed to be present in person at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20.6</w:t>
            </w:r>
          </w:p>
        </w:tc>
        <w:tc>
          <w:tcPr>
            <w:tcW w:w="9728" w:type="dxa"/>
            <w:tcBorders/>
            <w:vAlign w:val="center"/>
          </w:tcPr>
          <w:p>
            <w:pPr>
              <w:pStyle w:val="TableContents"/>
              <w:bidi w:val="0"/>
              <w:spacing w:before="0" w:after="283"/>
              <w:jc w:val="both"/>
              <w:rPr/>
            </w:pPr>
            <w:r>
              <w:rPr/>
              <w:t>The quorum for the transaction of business at a meeting of Directors shall be two unless the Directors fix some other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20.7</w:t>
            </w:r>
          </w:p>
        </w:tc>
        <w:tc>
          <w:tcPr>
            <w:tcW w:w="9728" w:type="dxa"/>
            <w:tcBorders/>
            <w:vAlign w:val="center"/>
          </w:tcPr>
          <w:p>
            <w:pPr>
              <w:pStyle w:val="TableContents"/>
              <w:bidi w:val="0"/>
              <w:spacing w:before="0" w:after="283"/>
              <w:jc w:val="both"/>
              <w:rPr/>
            </w:pPr>
            <w:r>
              <w:rPr/>
              <w:t>The Board may appoint a chairman and one or more deputy chairman or chairmen and may at any time revoke any such appointment.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20.8</w:t>
            </w:r>
          </w:p>
        </w:tc>
        <w:tc>
          <w:tcPr>
            <w:tcW w:w="9728" w:type="dxa"/>
            <w:tcBorders/>
            <w:vAlign w:val="center"/>
          </w:tcPr>
          <w:p>
            <w:pPr>
              <w:pStyle w:val="TableContents"/>
              <w:bidi w:val="0"/>
              <w:spacing w:before="0" w:after="283"/>
              <w:jc w:val="both"/>
              <w:rPr/>
            </w:pPr>
            <w:r>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20.9</w:t>
            </w:r>
          </w:p>
        </w:tc>
        <w:tc>
          <w:tcPr>
            <w:tcW w:w="9728" w:type="dxa"/>
            <w:tcBorders/>
            <w:vAlign w:val="center"/>
          </w:tcPr>
          <w:p>
            <w:pPr>
              <w:pStyle w:val="TableContents"/>
              <w:bidi w:val="0"/>
              <w:spacing w:before="0" w:after="283"/>
              <w:jc w:val="both"/>
              <w:rPr/>
            </w:pPr>
            <w:r>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20.10</w:t>
            </w:r>
          </w:p>
        </w:tc>
        <w:tc>
          <w:tcPr>
            <w:tcW w:w="9608" w:type="dxa"/>
            <w:tcBorders/>
            <w:vAlign w:val="center"/>
          </w:tcPr>
          <w:p>
            <w:pPr>
              <w:pStyle w:val="TableContents"/>
              <w:bidi w:val="0"/>
              <w:spacing w:before="0" w:after="283"/>
              <w:jc w:val="both"/>
              <w:rPr/>
            </w:pPr>
            <w:r>
              <w:rPr/>
              <w:t>A Director present at a meeting of Directors shall be presumed to have assented to any action taken at that meeting unless: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21"/>
        <w:gridCol w:w="9613"/>
      </w:tblGrid>
      <w:tr>
        <w:trPr/>
        <w:tc>
          <w:tcPr>
            <w:tcW w:w="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(a)</w:t>
            </w:r>
          </w:p>
        </w:tc>
        <w:tc>
          <w:tcPr>
            <w:tcW w:w="9613" w:type="dxa"/>
            <w:tcBorders/>
            <w:vAlign w:val="center"/>
          </w:tcPr>
          <w:p>
            <w:pPr>
              <w:pStyle w:val="TableContents"/>
              <w:bidi w:val="0"/>
              <w:spacing w:before="0" w:after="283"/>
              <w:jc w:val="both"/>
              <w:rPr/>
            </w:pPr>
            <w:r>
              <w:rPr/>
              <w:t>his dissent is entered in the minutes of the meeting;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2"/>
        <w:gridCol w:w="9807"/>
      </w:tblGrid>
      <w:tr>
        <w:trPr/>
        <w:tc>
          <w:tcPr>
            <w:tcW w:w="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(b)</w:t>
            </w:r>
          </w:p>
        </w:tc>
        <w:tc>
          <w:tcPr>
            <w:tcW w:w="9807" w:type="dxa"/>
            <w:tcBorders/>
            <w:vAlign w:val="center"/>
          </w:tcPr>
          <w:p>
            <w:pPr>
              <w:pStyle w:val="TableContents"/>
              <w:bidi w:val="0"/>
              <w:spacing w:before="0" w:after="283"/>
              <w:jc w:val="both"/>
              <w:rPr/>
            </w:pPr>
            <w:r>
              <w:rPr/>
              <w:t>he has filed with the meeting before it is concluded signed dissent from that action;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both"/>
              <w:rPr/>
            </w:pPr>
            <w:r>
              <w:rPr/>
              <w:t>he has forwarded to the Company as soon as practical following the conclusion of that meeting signed dissent.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20.11</w:t>
            </w:r>
          </w:p>
        </w:tc>
        <w:tc>
          <w:tcPr>
            <w:tcW w:w="9608" w:type="dxa"/>
            <w:tcBorders/>
            <w:vAlign w:val="center"/>
          </w:tcPr>
          <w:p>
            <w:pPr>
              <w:pStyle w:val="TableContents"/>
              <w:bidi w:val="0"/>
              <w:spacing w:before="0" w:after="283"/>
              <w:jc w:val="both"/>
              <w:rPr/>
            </w:pPr>
            <w:r>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20.12</w:t>
            </w:r>
          </w:p>
        </w:tc>
        <w:tc>
          <w:tcPr>
            <w:tcW w:w="9608" w:type="dxa"/>
            <w:tcBorders/>
            <w:vAlign w:val="center"/>
          </w:tcPr>
          <w:p>
            <w:pPr>
              <w:pStyle w:val="TableContents"/>
              <w:bidi w:val="0"/>
              <w:spacing w:before="0" w:after="283"/>
              <w:jc w:val="both"/>
              <w:rPr/>
            </w:pPr>
            <w:r>
              <w:rPr/>
              <w:t>A written resolution signed by a validly appointed alternate Director need not also be signed by the appointing Director.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20.13</w:t>
            </w:r>
          </w:p>
        </w:tc>
        <w:tc>
          <w:tcPr>
            <w:tcW w:w="9608" w:type="dxa"/>
            <w:tcBorders/>
            <w:vAlign w:val="center"/>
          </w:tcPr>
          <w:p>
            <w:pPr>
              <w:pStyle w:val="TableContents"/>
              <w:bidi w:val="0"/>
              <w:spacing w:before="0" w:after="283"/>
              <w:jc w:val="both"/>
              <w:rPr/>
            </w:pPr>
            <w:r>
              <w:rPr/>
              <w:t>A written resolution signed personally by the appointing Director need not also be signed by his alternate.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20.14</w:t>
            </w:r>
          </w:p>
        </w:tc>
        <w:tc>
          <w:tcPr>
            <w:tcW w:w="9608" w:type="dxa"/>
            <w:tcBorders/>
            <w:vAlign w:val="center"/>
          </w:tcPr>
          <w:p>
            <w:pPr>
              <w:pStyle w:val="TableContents"/>
              <w:bidi w:val="0"/>
              <w:spacing w:before="0" w:after="283"/>
              <w:jc w:val="both"/>
              <w:rPr/>
            </w:pPr>
            <w:r>
              <w:rPr/>
              <w:t>A resolution in writing passed pursuant to Article 20.11, Article 20.12 and/or Article 20.13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20.15</w:t>
            </w:r>
          </w:p>
        </w:tc>
        <w:tc>
          <w:tcPr>
            <w:tcW w:w="9608" w:type="dxa"/>
            <w:tcBorders/>
            <w:vAlign w:val="center"/>
          </w:tcPr>
          <w:p>
            <w:pPr>
              <w:pStyle w:val="TableContents"/>
              <w:bidi w:val="0"/>
              <w:spacing w:before="0" w:after="283"/>
              <w:jc w:val="both"/>
              <w:rPr/>
            </w:pPr>
            <w:r>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70"/>
        <w:gridCol w:w="9552"/>
      </w:tblGrid>
      <w:tr>
        <w:trPr/>
        <w:tc>
          <w:tcPr>
            <w:tcW w:w="8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pPr>
            <w:r>
              <w:rPr/>
              <w:t>21</w:t>
            </w:r>
          </w:p>
        </w:tc>
        <w:tc>
          <w:tcPr>
            <w:tcW w:w="9552" w:type="dxa"/>
            <w:tcBorders/>
            <w:vAlign w:val="center"/>
          </w:tcPr>
          <w:p>
            <w:pPr>
              <w:pStyle w:val="TableContents"/>
              <w:bidi w:val="0"/>
              <w:spacing w:before="0" w:after="283"/>
              <w:jc w:val="both"/>
              <w:rPr/>
            </w:pPr>
            <w:r>
              <w:rPr/>
              <w:t>Permissible Directors’ interests and disclosure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1010"/>
        <w:gridCol w:w="9108"/>
      </w:tblGrid>
      <w:tr>
        <w:trPr/>
        <w:tc>
          <w:tcPr>
            <w:tcW w:w="8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21.2</w:t>
            </w:r>
          </w:p>
        </w:tc>
        <w:tc>
          <w:tcPr>
            <w:tcW w:w="9108" w:type="dxa"/>
            <w:tcBorders/>
            <w:vAlign w:val="center"/>
          </w:tcPr>
          <w:p>
            <w:pPr>
              <w:pStyle w:val="TableContents"/>
              <w:bidi w:val="0"/>
              <w:spacing w:before="0" w:after="283"/>
              <w:jc w:val="both"/>
              <w:rPr/>
            </w:pPr>
            <w:r>
              <w:rPr/>
              <w:t>For the purposes of the preceding Article: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an interest of which a Director has no knowledge and of which it is unreasonable to expect him to have knowledge shall not be treated as an interest of his.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3"/>
        <w:gridCol w:w="2416"/>
        <w:gridCol w:w="7436"/>
      </w:tblGrid>
      <w:tr>
        <w:trPr/>
        <w:tc>
          <w:tcPr>
            <w:tcW w:w="35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pPr>
            <w:r>
              <w:rPr/>
              <w:t>22</w:t>
            </w:r>
          </w:p>
        </w:tc>
        <w:tc>
          <w:tcPr>
            <w:tcW w:w="7436" w:type="dxa"/>
            <w:tcBorders/>
            <w:vAlign w:val="center"/>
          </w:tcPr>
          <w:p>
            <w:pPr>
              <w:pStyle w:val="TableContents"/>
              <w:bidi w:val="0"/>
              <w:spacing w:before="0" w:after="283"/>
              <w:jc w:val="both"/>
              <w:rPr/>
            </w:pPr>
            <w:r>
              <w:rPr/>
              <w:t>Minutes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744"/>
        <w:gridCol w:w="9397"/>
      </w:tblGrid>
      <w:tr>
        <w:trPr/>
        <w:tc>
          <w:tcPr>
            <w:tcW w:w="6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22.1</w:t>
            </w:r>
          </w:p>
        </w:tc>
        <w:tc>
          <w:tcPr>
            <w:tcW w:w="9397" w:type="dxa"/>
            <w:tcBorders/>
            <w:vAlign w:val="center"/>
          </w:tcPr>
          <w:p>
            <w:pPr>
              <w:pStyle w:val="TableContents"/>
              <w:bidi w:val="0"/>
              <w:spacing w:before="0" w:after="283"/>
              <w:jc w:val="both"/>
              <w:rPr/>
            </w:pPr>
            <w:r>
              <w:rPr/>
              <w:t>The Company shall cause minutes to be made in books of: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283"/>
              <w:jc w:val="both"/>
              <w:rPr/>
            </w:pPr>
            <w:r>
              <w:rPr/>
              <w:t>all appointments of Officers and committees made by the Board and of any such Officer’s remuneration;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20" w:type="dxa"/>
            <w:tcBorders/>
            <w:vAlign w:val="center"/>
          </w:tcPr>
          <w:p>
            <w:pPr>
              <w:pStyle w:val="TableContents"/>
              <w:bidi w:val="0"/>
              <w:spacing w:before="0" w:after="283"/>
              <w:jc w:val="both"/>
              <w:rPr/>
            </w:pPr>
            <w:r>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22.2</w:t>
            </w:r>
          </w:p>
        </w:tc>
        <w:tc>
          <w:tcPr>
            <w:tcW w:w="9728" w:type="dxa"/>
            <w:tcBorders/>
            <w:vAlign w:val="center"/>
          </w:tcPr>
          <w:p>
            <w:pPr>
              <w:pStyle w:val="TableContents"/>
              <w:bidi w:val="0"/>
              <w:spacing w:before="0" w:after="283"/>
              <w:jc w:val="both"/>
              <w:rPr/>
            </w:pPr>
            <w:r>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226"/>
        <w:gridCol w:w="8800"/>
      </w:tblGrid>
      <w:tr>
        <w:trPr/>
        <w:tc>
          <w:tcPr>
            <w:tcW w:w="17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23</w:t>
            </w:r>
          </w:p>
        </w:tc>
        <w:tc>
          <w:tcPr>
            <w:tcW w:w="8800" w:type="dxa"/>
            <w:tcBorders/>
            <w:vAlign w:val="center"/>
          </w:tcPr>
          <w:p>
            <w:pPr>
              <w:pStyle w:val="TableContents"/>
              <w:bidi w:val="0"/>
              <w:spacing w:before="0" w:after="283"/>
              <w:jc w:val="both"/>
              <w:rPr/>
            </w:pPr>
            <w:r>
              <w:rPr/>
              <w:t>Accounts and audit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pPr>
            <w:r>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23.2</w:t>
            </w:r>
          </w:p>
        </w:tc>
        <w:tc>
          <w:tcPr>
            <w:tcW w:w="9728" w:type="dxa"/>
            <w:tcBorders/>
            <w:vAlign w:val="center"/>
          </w:tcPr>
          <w:p>
            <w:pPr>
              <w:pStyle w:val="TableContents"/>
              <w:bidi w:val="0"/>
              <w:spacing w:before="0" w:after="283"/>
              <w:jc w:val="both"/>
              <w:rPr/>
            </w:pPr>
            <w:r>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23.3</w:t>
            </w:r>
          </w:p>
        </w:tc>
        <w:tc>
          <w:tcPr>
            <w:tcW w:w="9728" w:type="dxa"/>
            <w:tcBorders/>
            <w:vAlign w:val="center"/>
          </w:tcPr>
          <w:p>
            <w:pPr>
              <w:pStyle w:val="TableContents"/>
              <w:bidi w:val="0"/>
              <w:spacing w:before="0" w:after="283"/>
              <w:jc w:val="both"/>
              <w:rPr/>
            </w:pPr>
            <w:r>
              <w:rPr/>
              <w:t>Unless the Directors otherwise prescribe, the financial year of the Company shall end on 31 December in each year and begin on 1 January in each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23.4</w:t>
            </w:r>
          </w:p>
        </w:tc>
        <w:tc>
          <w:tcPr>
            <w:tcW w:w="9728" w:type="dxa"/>
            <w:tcBorders/>
            <w:vAlign w:val="center"/>
          </w:tcPr>
          <w:p>
            <w:pPr>
              <w:pStyle w:val="TableContents"/>
              <w:bidi w:val="0"/>
              <w:spacing w:before="0" w:after="283"/>
              <w:jc w:val="both"/>
              <w:rPr/>
            </w:pPr>
            <w:r>
              <w:rPr/>
              <w:t>The Directors may appoint an Auditor of the Company who shall hold office on such terms as the Directors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23.5</w:t>
            </w:r>
          </w:p>
        </w:tc>
        <w:tc>
          <w:tcPr>
            <w:tcW w:w="9728" w:type="dxa"/>
            <w:tcBorders/>
            <w:vAlign w:val="center"/>
          </w:tcPr>
          <w:p>
            <w:pPr>
              <w:pStyle w:val="TableContents"/>
              <w:bidi w:val="0"/>
              <w:spacing w:before="0" w:after="283"/>
              <w:jc w:val="both"/>
              <w:rPr/>
            </w:pPr>
            <w:r>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23.6</w:t>
            </w:r>
          </w:p>
        </w:tc>
        <w:tc>
          <w:tcPr>
            <w:tcW w:w="9728" w:type="dxa"/>
            <w:tcBorders/>
            <w:vAlign w:val="center"/>
          </w:tcPr>
          <w:p>
            <w:pPr>
              <w:pStyle w:val="TableContents"/>
              <w:bidi w:val="0"/>
              <w:spacing w:before="0" w:after="283"/>
              <w:jc w:val="both"/>
              <w:rPr/>
            </w:pPr>
            <w:r>
              <w:rPr/>
              <w:t>The Auditors shall examine such books, accounts and vouchers; as may be necessary for the performance of their duties.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23.7</w:t>
            </w:r>
          </w:p>
        </w:tc>
        <w:tc>
          <w:tcPr>
            <w:tcW w:w="9728" w:type="dxa"/>
            <w:tcBorders/>
            <w:vAlign w:val="center"/>
          </w:tcPr>
          <w:p>
            <w:pPr>
              <w:pStyle w:val="TableContents"/>
              <w:bidi w:val="0"/>
              <w:spacing w:before="0" w:after="283"/>
              <w:jc w:val="both"/>
              <w:rPr/>
            </w:pPr>
            <w:r>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697"/>
        <w:gridCol w:w="8260"/>
      </w:tblGrid>
      <w:tr>
        <w:trPr/>
        <w:tc>
          <w:tcPr>
            <w:tcW w:w="24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pPr>
            <w:r>
              <w:rPr/>
              <w:t>24</w:t>
            </w:r>
          </w:p>
        </w:tc>
        <w:tc>
          <w:tcPr>
            <w:tcW w:w="8260" w:type="dxa"/>
            <w:tcBorders/>
            <w:vAlign w:val="center"/>
          </w:tcPr>
          <w:p>
            <w:pPr>
              <w:pStyle w:val="TableContents"/>
              <w:bidi w:val="0"/>
              <w:spacing w:before="0" w:after="283"/>
              <w:jc w:val="both"/>
              <w:rPr/>
            </w:pPr>
            <w:r>
              <w:rPr/>
              <w:t>Record dates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24.2</w:t>
            </w:r>
          </w:p>
        </w:tc>
        <w:tc>
          <w:tcPr>
            <w:tcW w:w="9728" w:type="dxa"/>
            <w:tcBorders/>
            <w:vAlign w:val="center"/>
          </w:tcPr>
          <w:p>
            <w:pPr>
              <w:pStyle w:val="TableContents"/>
              <w:bidi w:val="0"/>
              <w:spacing w:before="0" w:after="283"/>
              <w:jc w:val="both"/>
              <w:rPr/>
            </w:pPr>
            <w:r>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i/>
              </w:rPr>
              <w:t>inter se</w:t>
            </w:r>
            <w:r>
              <w:rPr/>
              <w:t xml:space="preserve"> in respect of the dividend of transferors and transferees of any of those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24.3</w:t>
            </w:r>
          </w:p>
        </w:tc>
        <w:tc>
          <w:tcPr>
            <w:tcW w:w="9728" w:type="dxa"/>
            <w:tcBorders/>
            <w:vAlign w:val="center"/>
          </w:tcPr>
          <w:p>
            <w:pPr>
              <w:pStyle w:val="TableContents"/>
              <w:bidi w:val="0"/>
              <w:spacing w:before="0" w:after="283"/>
              <w:jc w:val="both"/>
              <w:rPr/>
            </w:pPr>
            <w:r>
              <w:rPr/>
              <w:t xml:space="preserve">The provisions of this Article apply, </w:t>
            </w:r>
            <w:r>
              <w:rPr>
                <w:i/>
              </w:rPr>
              <w:t>mutatis mutandis</w:t>
            </w:r>
            <w:r>
              <w:rPr/>
              <w:t>, to bonuses, capitalisation issues, distributions of realised capital profits or offers or grants made by the Company to the Members.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028"/>
        <w:gridCol w:w="7881"/>
      </w:tblGrid>
      <w:tr>
        <w:trPr/>
        <w:tc>
          <w:tcPr>
            <w:tcW w:w="29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pPr>
            <w:r>
              <w:rPr/>
              <w:t>25</w:t>
            </w:r>
          </w:p>
        </w:tc>
        <w:tc>
          <w:tcPr>
            <w:tcW w:w="7881" w:type="dxa"/>
            <w:tcBorders/>
            <w:vAlign w:val="center"/>
          </w:tcPr>
          <w:p>
            <w:pPr>
              <w:pStyle w:val="TableContents"/>
              <w:bidi w:val="0"/>
              <w:spacing w:before="0" w:after="283"/>
              <w:jc w:val="both"/>
              <w:rPr/>
            </w:pPr>
            <w:r>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25.1</w:t>
            </w:r>
          </w:p>
        </w:tc>
        <w:tc>
          <w:tcPr>
            <w:tcW w:w="9728" w:type="dxa"/>
            <w:tcBorders/>
            <w:vAlign w:val="center"/>
          </w:tcPr>
          <w:p>
            <w:pPr>
              <w:pStyle w:val="TableContents"/>
              <w:bidi w:val="0"/>
              <w:spacing w:before="0" w:after="283"/>
              <w:jc w:val="both"/>
              <w:rPr/>
            </w:pPr>
            <w:r>
              <w:rPr/>
              <w:t>Dividends may be declared and paid out of any funds of the Company lawfully available for distribution.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25.2</w:t>
            </w:r>
          </w:p>
        </w:tc>
        <w:tc>
          <w:tcPr>
            <w:tcW w:w="9728" w:type="dxa"/>
            <w:tcBorders/>
            <w:vAlign w:val="center"/>
          </w:tcPr>
          <w:p>
            <w:pPr>
              <w:pStyle w:val="TableContents"/>
              <w:bidi w:val="0"/>
              <w:spacing w:before="0" w:after="283"/>
              <w:jc w:val="both"/>
              <w:rPr/>
            </w:pPr>
            <w:r>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25.3</w:t>
            </w:r>
          </w:p>
        </w:tc>
        <w:tc>
          <w:tcPr>
            <w:tcW w:w="9728" w:type="dxa"/>
            <w:tcBorders/>
            <w:vAlign w:val="center"/>
          </w:tcPr>
          <w:p>
            <w:pPr>
              <w:pStyle w:val="TableContents"/>
              <w:bidi w:val="0"/>
              <w:spacing w:before="0" w:after="283"/>
              <w:jc w:val="both"/>
              <w:rPr/>
            </w:pPr>
            <w:r>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25.4</w:t>
            </w:r>
          </w:p>
        </w:tc>
        <w:tc>
          <w:tcPr>
            <w:tcW w:w="9728" w:type="dxa"/>
            <w:tcBorders/>
            <w:vAlign w:val="center"/>
          </w:tcPr>
          <w:p>
            <w:pPr>
              <w:pStyle w:val="TableContents"/>
              <w:bidi w:val="0"/>
              <w:spacing w:before="0" w:after="283"/>
              <w:jc w:val="both"/>
              <w:rPr/>
            </w:pPr>
            <w:r>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25.5</w:t>
            </w:r>
          </w:p>
        </w:tc>
        <w:tc>
          <w:tcPr>
            <w:tcW w:w="9728" w:type="dxa"/>
            <w:tcBorders/>
            <w:vAlign w:val="center"/>
          </w:tcPr>
          <w:p>
            <w:pPr>
              <w:pStyle w:val="TableContents"/>
              <w:bidi w:val="0"/>
              <w:spacing w:before="0" w:after="283"/>
              <w:jc w:val="both"/>
              <w:rPr/>
            </w:pPr>
            <w:r>
              <w:rPr/>
              <w:t>Subject to the provisions of the Act, in relation to the distinction between interim dividends and final dividends, the following applies: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25.6</w:t>
            </w:r>
          </w:p>
        </w:tc>
        <w:tc>
          <w:tcPr>
            <w:tcW w:w="9728" w:type="dxa"/>
            <w:tcBorders/>
            <w:vAlign w:val="center"/>
          </w:tcPr>
          <w:p>
            <w:pPr>
              <w:pStyle w:val="TableContents"/>
              <w:bidi w:val="0"/>
              <w:spacing w:before="0" w:after="283"/>
              <w:jc w:val="both"/>
              <w:rPr/>
            </w:pPr>
            <w:r>
              <w:rPr/>
              <w:t>In relation to Shares carrying differing rights to dividends or rights to dividends at a fixed rate, the following applies: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25.7</w:t>
            </w:r>
          </w:p>
        </w:tc>
        <w:tc>
          <w:tcPr>
            <w:tcW w:w="9728" w:type="dxa"/>
            <w:tcBorders/>
            <w:vAlign w:val="center"/>
          </w:tcPr>
          <w:p>
            <w:pPr>
              <w:pStyle w:val="TableContents"/>
              <w:bidi w:val="0"/>
              <w:spacing w:before="0" w:after="283"/>
              <w:jc w:val="both"/>
              <w:rPr/>
            </w:pPr>
            <w:r>
              <w:rPr/>
              <w:t>Subject to Articles 9.11, 9.19 and 25.8, any Available Reserves which the Company may determine to distribute in respect of any Financial Year will be distributed among the holders of the Series A Shares and the Ordinary Shares as follows: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first to pay to each Series A Shareholder in respect of each Series A Share held a sum equal to any unpaid Arrears in respect of any Preference Dividend on such Series A Share;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second to apply the balance amongst the holders of the Ordinary Shares and the Series A Shares on a pro rata basis (for the avoidance of doubt, counted on an as-converted basis in accordance with Article 1.4(b)).</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25.8</w:t>
            </w:r>
          </w:p>
        </w:tc>
        <w:tc>
          <w:tcPr>
            <w:tcW w:w="9728" w:type="dxa"/>
            <w:tcBorders/>
            <w:vAlign w:val="center"/>
          </w:tcPr>
          <w:p>
            <w:pPr>
              <w:pStyle w:val="TableContents"/>
              <w:bidi w:val="0"/>
              <w:spacing w:before="0" w:after="283"/>
              <w:jc w:val="both"/>
              <w:rPr/>
            </w:pPr>
            <w:r>
              <w:rPr/>
              <w:t xml:space="preserve">The Company will, before application of any profits to reserve or for any other purpose, pay in respect of each Series A Share a fixed cumulative preferential dividend (the </w:t>
            </w:r>
            <w:r>
              <w:rPr>
                <w:b/>
              </w:rPr>
              <w:t>Preference Dividend</w:t>
            </w:r>
            <w:r>
              <w:rPr/>
              <w:t>) at the Annual Rate of the Accrued Value per Series A Share, accruing daily and compounding on a semi-annual basis and payable to the registered holder in two equal instalments on 31 December and 30 June each year, or upon a conversion of the relevant Series A Shares into Ordinary Shares. The Board may elect from time to time for any Preference Dividend to be satisfied by either (i) a cash payment to the registered holder of the relevant Series A Share (</w:t>
            </w:r>
            <w:r>
              <w:rPr>
                <w:b/>
              </w:rPr>
              <w:t>Cash Option</w:t>
            </w:r>
            <w:r>
              <w:rPr/>
              <w:t>) or (ii) the Accrued Value of the relevant Series A Share being increased to include the value of the relevant Preference Dividend (</w:t>
            </w:r>
            <w:r>
              <w:rPr>
                <w:b/>
              </w:rPr>
              <w:t>PIK Option</w:t>
            </w:r>
            <w:r>
              <w:rPr/>
              <w:t xml:space="preserve">). For the purposes of the foregoing, the </w:t>
            </w:r>
            <w:r>
              <w:rPr>
                <w:b/>
              </w:rPr>
              <w:t>Annual Rate</w:t>
            </w:r>
            <w:r>
              <w:rPr/>
              <w:t>, in respect of a particular period, shall be: (a) 10% per annum where the Board elects to satisfy the relevant Preference Dividend via the Cash Option or (b) 12% per annum where the Board elects to satisfy the relevant Preference Dividend via the PIK Option.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25.9</w:t>
            </w:r>
          </w:p>
        </w:tc>
        <w:tc>
          <w:tcPr>
            <w:tcW w:w="9728" w:type="dxa"/>
            <w:tcBorders/>
            <w:vAlign w:val="center"/>
          </w:tcPr>
          <w:p>
            <w:pPr>
              <w:pStyle w:val="TableContents"/>
              <w:bidi w:val="0"/>
              <w:spacing w:before="0" w:after="283"/>
              <w:jc w:val="both"/>
              <w:rPr/>
            </w:pPr>
            <w:r>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25.10</w:t>
            </w:r>
          </w:p>
        </w:tc>
        <w:tc>
          <w:tcPr>
            <w:tcW w:w="9608" w:type="dxa"/>
            <w:tcBorders/>
            <w:vAlign w:val="center"/>
          </w:tcPr>
          <w:p>
            <w:pPr>
              <w:pStyle w:val="TableContents"/>
              <w:bidi w:val="0"/>
              <w:spacing w:before="0" w:after="283"/>
              <w:jc w:val="both"/>
              <w:rPr/>
            </w:pPr>
            <w:r>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119"/>
        <w:gridCol w:w="8932"/>
      </w:tblGrid>
      <w:tr>
        <w:trPr/>
        <w:tc>
          <w:tcPr>
            <w:tcW w:w="15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both"/>
              <w:rPr/>
            </w:pPr>
            <w:r>
              <w:rPr/>
              <w:t>issue fractional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fix the value of assets for distribution and make cash payments to some Members on the footing of the value so fixed in order to adjust the rights of Members;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954"/>
        <w:gridCol w:w="9120"/>
      </w:tblGrid>
      <w:tr>
        <w:trPr/>
        <w:tc>
          <w:tcPr>
            <w:tcW w:w="13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pPr>
            <w:r>
              <w:rPr/>
              <w:t>(c)</w:t>
            </w:r>
          </w:p>
        </w:tc>
        <w:tc>
          <w:tcPr>
            <w:tcW w:w="9120" w:type="dxa"/>
            <w:tcBorders/>
            <w:vAlign w:val="center"/>
          </w:tcPr>
          <w:p>
            <w:pPr>
              <w:pStyle w:val="TableContents"/>
              <w:bidi w:val="0"/>
              <w:spacing w:before="0" w:after="283"/>
              <w:jc w:val="both"/>
              <w:rPr/>
            </w:pPr>
            <w:r>
              <w:rPr/>
              <w:t>vest some assets in trustees.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25.11</w:t>
            </w:r>
          </w:p>
        </w:tc>
        <w:tc>
          <w:tcPr>
            <w:tcW w:w="9608" w:type="dxa"/>
            <w:tcBorders/>
            <w:vAlign w:val="center"/>
          </w:tcPr>
          <w:p>
            <w:pPr>
              <w:pStyle w:val="TableContents"/>
              <w:bidi w:val="0"/>
              <w:spacing w:before="0" w:after="283"/>
              <w:jc w:val="both"/>
              <w:rPr/>
            </w:pPr>
            <w:r>
              <w:rPr/>
              <w:t>A dividend or other monies payable on or in respect of a Share may be paid in any of the following ways: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if the Member holding that Share or other person entitled to that Share nominates a bank account for that purpose - by wire transfer to that bank account;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by cheque or warrant sent by post to the registered address of the Member holding that Share or other person entitled to that Share.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25.12</w:t>
            </w:r>
          </w:p>
        </w:tc>
        <w:tc>
          <w:tcPr>
            <w:tcW w:w="9608" w:type="dxa"/>
            <w:tcBorders/>
            <w:vAlign w:val="center"/>
          </w:tcPr>
          <w:p>
            <w:pPr>
              <w:pStyle w:val="TableContents"/>
              <w:bidi w:val="0"/>
              <w:spacing w:before="0" w:after="283"/>
              <w:jc w:val="both"/>
              <w:rPr/>
            </w:pPr>
            <w:r>
              <w:rPr/>
              <w:t>For the purposes of Article 25.11(a), the nomination may be in writing or in an Electronic Record and the bank account nominated may be the bank account of another person. For the purposes of Article 25.11(b),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25.13</w:t>
            </w:r>
          </w:p>
        </w:tc>
        <w:tc>
          <w:tcPr>
            <w:tcW w:w="9608" w:type="dxa"/>
            <w:tcBorders/>
            <w:vAlign w:val="center"/>
          </w:tcPr>
          <w:p>
            <w:pPr>
              <w:pStyle w:val="TableContents"/>
              <w:bidi w:val="0"/>
              <w:spacing w:before="0" w:after="283"/>
              <w:jc w:val="both"/>
              <w:rPr/>
            </w:pPr>
            <w:r>
              <w:rPr/>
              <w:t>If two or more persons are registered as the holders of the Share or are jointly entitled to it by reason of the death or bankruptcy of the registered holder (</w:t>
            </w:r>
            <w:r>
              <w:rPr>
                <w:b/>
              </w:rPr>
              <w:t>Joint Holders</w:t>
            </w:r>
            <w:r>
              <w:rPr/>
              <w:t>), a dividend (or other amount) payable on or in respect of that Share may be paid as follows: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to the address or bank account of another person nominated by the Joint Holders, whether that nomination is in writing or in an Electronic Record.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25.14</w:t>
            </w:r>
          </w:p>
        </w:tc>
        <w:tc>
          <w:tcPr>
            <w:tcW w:w="9608" w:type="dxa"/>
            <w:tcBorders/>
            <w:vAlign w:val="center"/>
          </w:tcPr>
          <w:p>
            <w:pPr>
              <w:pStyle w:val="TableContents"/>
              <w:bidi w:val="0"/>
              <w:spacing w:before="0" w:after="283"/>
              <w:jc w:val="both"/>
              <w:rPr/>
            </w:pPr>
            <w:r>
              <w:rPr/>
              <w:t>Any Joint Holder of a Share may give a valid receipt for a dividend (or other amount) payable in respect of that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25.15</w:t>
            </w:r>
          </w:p>
        </w:tc>
        <w:tc>
          <w:tcPr>
            <w:tcW w:w="9608" w:type="dxa"/>
            <w:tcBorders/>
            <w:vAlign w:val="center"/>
          </w:tcPr>
          <w:p>
            <w:pPr>
              <w:pStyle w:val="TableContents"/>
              <w:bidi w:val="0"/>
              <w:spacing w:before="0" w:after="283"/>
              <w:jc w:val="both"/>
              <w:rPr/>
            </w:pPr>
            <w:r>
              <w:rPr/>
              <w:t>Unless provided for by the rights attached to a Share and except with respect to the Series A Shares as set forth in these Articles, no dividend or other monies payable by the Company in respect of a Share shall bear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25.16</w:t>
            </w:r>
          </w:p>
        </w:tc>
        <w:tc>
          <w:tcPr>
            <w:tcW w:w="9608" w:type="dxa"/>
            <w:tcBorders/>
            <w:vAlign w:val="center"/>
          </w:tcPr>
          <w:p>
            <w:pPr>
              <w:pStyle w:val="TableContents"/>
              <w:bidi w:val="0"/>
              <w:spacing w:before="0" w:after="283"/>
              <w:jc w:val="both"/>
              <w:rPr/>
            </w:pPr>
            <w:r>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25.17</w:t>
            </w:r>
          </w:p>
        </w:tc>
        <w:tc>
          <w:tcPr>
            <w:tcW w:w="9608" w:type="dxa"/>
            <w:tcBorders/>
            <w:vAlign w:val="center"/>
          </w:tcPr>
          <w:p>
            <w:pPr>
              <w:pStyle w:val="TableContents"/>
              <w:bidi w:val="0"/>
              <w:spacing w:before="0" w:after="283"/>
              <w:jc w:val="both"/>
              <w:rPr/>
            </w:pPr>
            <w:r>
              <w:rPr/>
              <w:t>A dividend that remains unclaimed for a period of six years after it became due for payment shall be forfeited to, and shall cease to remain owing by,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046"/>
        <w:gridCol w:w="9007"/>
      </w:tblGrid>
      <w:tr>
        <w:trPr/>
        <w:tc>
          <w:tcPr>
            <w:tcW w:w="15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pPr>
            <w:r>
              <w:rPr/>
              <w:t>26</w:t>
            </w:r>
          </w:p>
        </w:tc>
        <w:tc>
          <w:tcPr>
            <w:tcW w:w="9007" w:type="dxa"/>
            <w:tcBorders/>
            <w:vAlign w:val="center"/>
          </w:tcPr>
          <w:p>
            <w:pPr>
              <w:pStyle w:val="TableContents"/>
              <w:bidi w:val="0"/>
              <w:spacing w:before="0" w:after="283"/>
              <w:jc w:val="both"/>
              <w:rPr/>
            </w:pPr>
            <w:r>
              <w:rPr/>
              <w:t>Capitalisation of profits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1057"/>
        <w:gridCol w:w="9057"/>
      </w:tblGrid>
      <w:tr>
        <w:trPr/>
        <w:tc>
          <w:tcPr>
            <w:tcW w:w="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pPr>
            <w:r>
              <w:rPr/>
              <w:t>26.1</w:t>
            </w:r>
          </w:p>
        </w:tc>
        <w:tc>
          <w:tcPr>
            <w:tcW w:w="9057" w:type="dxa"/>
            <w:tcBorders/>
            <w:vAlign w:val="center"/>
          </w:tcPr>
          <w:p>
            <w:pPr>
              <w:pStyle w:val="TableContents"/>
              <w:bidi w:val="0"/>
              <w:spacing w:before="0" w:after="283"/>
              <w:jc w:val="both"/>
              <w:rPr/>
            </w:pPr>
            <w:r>
              <w:rPr/>
              <w:t>The Directors may resolve to capitalise: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any part of the Company’s profits not required for paying any preferential dividend (whether or not those profits are available for distribution);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any sum standing to the credit of the Company’s share premium account or capital redemption reserve, if 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26.2</w:t>
            </w:r>
          </w:p>
        </w:tc>
        <w:tc>
          <w:tcPr>
            <w:tcW w:w="9728" w:type="dxa"/>
            <w:tcBorders/>
            <w:vAlign w:val="center"/>
          </w:tcPr>
          <w:p>
            <w:pPr>
              <w:pStyle w:val="TableContents"/>
              <w:bidi w:val="0"/>
              <w:spacing w:before="0" w:after="283"/>
              <w:jc w:val="both"/>
              <w:rPr/>
            </w:pPr>
            <w:r>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70"/>
        <w:gridCol w:w="9671"/>
      </w:tblGrid>
      <w:tr>
        <w:trPr/>
        <w:tc>
          <w:tcPr>
            <w:tcW w:w="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(a)</w:t>
            </w:r>
          </w:p>
        </w:tc>
        <w:tc>
          <w:tcPr>
            <w:tcW w:w="9671" w:type="dxa"/>
            <w:tcBorders/>
            <w:vAlign w:val="center"/>
          </w:tcPr>
          <w:p>
            <w:pPr>
              <w:pStyle w:val="TableContents"/>
              <w:bidi w:val="0"/>
              <w:spacing w:before="0" w:after="283"/>
              <w:jc w:val="both"/>
              <w:rPr/>
            </w:pPr>
            <w:r>
              <w:rPr/>
              <w:t>by paying up the amounts unpaid on that Member’s Shares;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by issuing Fully Paid Up Shares, debentures or other securities of the Company to that Member or as that Member directs. The Directors may resolve that any Shares issued to the Member in respect of Partly Paid Up Shares (</w:t>
            </w:r>
            <w:r>
              <w:rPr>
                <w:b/>
              </w:rPr>
              <w:t>Original Shares</w:t>
            </w:r>
            <w:r>
              <w:rPr/>
              <w:t>) rank for dividend only to the extent that the Original Shares rank for dividend while those Original Shares remain Partly Paid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26.3</w:t>
            </w:r>
          </w:p>
        </w:tc>
        <w:tc>
          <w:tcPr>
            <w:tcW w:w="9728" w:type="dxa"/>
            <w:tcBorders/>
            <w:vAlign w:val="center"/>
          </w:tcPr>
          <w:p>
            <w:pPr>
              <w:pStyle w:val="TableContents"/>
              <w:bidi w:val="0"/>
              <w:spacing w:before="0" w:after="283"/>
              <w:jc w:val="both"/>
              <w:rPr/>
            </w:pPr>
            <w:r>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26.4</w:t>
            </w:r>
          </w:p>
        </w:tc>
        <w:tc>
          <w:tcPr>
            <w:tcW w:w="9728" w:type="dxa"/>
            <w:tcBorders/>
            <w:vAlign w:val="center"/>
          </w:tcPr>
          <w:p>
            <w:pPr>
              <w:pStyle w:val="TableContents"/>
              <w:bidi w:val="0"/>
              <w:spacing w:before="0" w:after="283"/>
              <w:jc w:val="both"/>
              <w:rPr/>
            </w:pPr>
            <w:r>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998"/>
        <w:gridCol w:w="9062"/>
      </w:tblGrid>
      <w:tr>
        <w:trPr/>
        <w:tc>
          <w:tcPr>
            <w:tcW w:w="14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pPr>
            <w:r>
              <w:rPr/>
              <w:t>27</w:t>
            </w:r>
          </w:p>
        </w:tc>
        <w:tc>
          <w:tcPr>
            <w:tcW w:w="9062" w:type="dxa"/>
            <w:tcBorders/>
            <w:vAlign w:val="center"/>
          </w:tcPr>
          <w:p>
            <w:pPr>
              <w:pStyle w:val="TableContents"/>
              <w:bidi w:val="0"/>
              <w:spacing w:before="0" w:after="283"/>
              <w:jc w:val="both"/>
              <w:rPr/>
            </w:pPr>
            <w:r>
              <w:rPr/>
              <w:t>Share Premium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27.1</w:t>
            </w:r>
          </w:p>
        </w:tc>
        <w:tc>
          <w:tcPr>
            <w:tcW w:w="9728" w:type="dxa"/>
            <w:tcBorders/>
            <w:vAlign w:val="center"/>
          </w:tcPr>
          <w:p>
            <w:pPr>
              <w:pStyle w:val="TableContents"/>
              <w:bidi w:val="0"/>
              <w:spacing w:before="0" w:after="283"/>
              <w:jc w:val="both"/>
              <w:rPr/>
            </w:pPr>
            <w:r>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624"/>
        <w:gridCol w:w="9528"/>
      </w:tblGrid>
      <w:tr>
        <w:trPr/>
        <w:tc>
          <w:tcPr>
            <w:tcW w:w="5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27.2</w:t>
            </w:r>
          </w:p>
        </w:tc>
        <w:tc>
          <w:tcPr>
            <w:tcW w:w="9528" w:type="dxa"/>
            <w:tcBorders/>
            <w:vAlign w:val="center"/>
          </w:tcPr>
          <w:p>
            <w:pPr>
              <w:pStyle w:val="TableContents"/>
              <w:bidi w:val="0"/>
              <w:spacing w:before="0" w:after="283"/>
              <w:jc w:val="both"/>
              <w:rPr/>
            </w:pPr>
            <w:r>
              <w:rPr/>
              <w:t>The following amounts shall be debited to any share premium account: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on the redemption or purchase of a Share, the difference between the nominal value of that Share and the redemption or purchase price;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78"/>
        <w:gridCol w:w="9778"/>
      </w:tblGrid>
      <w:tr>
        <w:trPr/>
        <w:tc>
          <w:tcPr>
            <w:tcW w:w="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(b)</w:t>
            </w:r>
          </w:p>
        </w:tc>
        <w:tc>
          <w:tcPr>
            <w:tcW w:w="9778" w:type="dxa"/>
            <w:tcBorders/>
            <w:vAlign w:val="center"/>
          </w:tcPr>
          <w:p>
            <w:pPr>
              <w:pStyle w:val="TableContents"/>
              <w:bidi w:val="0"/>
              <w:spacing w:before="0" w:after="283"/>
              <w:jc w:val="both"/>
              <w:rPr/>
            </w:pPr>
            <w:r>
              <w:rPr/>
              <w:t>any other amount paid out of a share premium account as permitted by the Act.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27.3</w:t>
            </w:r>
          </w:p>
        </w:tc>
        <w:tc>
          <w:tcPr>
            <w:tcW w:w="9728" w:type="dxa"/>
            <w:tcBorders/>
            <w:vAlign w:val="center"/>
          </w:tcPr>
          <w:p>
            <w:pPr>
              <w:pStyle w:val="TableContents"/>
              <w:bidi w:val="0"/>
              <w:spacing w:before="0" w:after="283"/>
              <w:jc w:val="both"/>
              <w:rPr/>
            </w:pPr>
            <w:r>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5"/>
        <w:gridCol w:w="3595"/>
        <w:gridCol w:w="6085"/>
      </w:tblGrid>
      <w:tr>
        <w:trPr/>
        <w:tc>
          <w:tcPr>
            <w:tcW w:w="525" w:type="dxa"/>
            <w:tcBorders/>
            <w:vAlign w:val="center"/>
          </w:tcPr>
          <w:p>
            <w:pPr>
              <w:pStyle w:val="TableContents"/>
              <w:bidi w:val="0"/>
              <w:spacing w:before="0" w:after="283"/>
              <w:jc w:val="left"/>
              <w:rPr>
                <w:sz w:val="4"/>
                <w:szCs w:val="4"/>
              </w:rPr>
            </w:pPr>
            <w:r>
              <w:rPr>
                <w:sz w:val="4"/>
                <w:szCs w:val="4"/>
              </w:rPr>
            </w:r>
          </w:p>
        </w:tc>
        <w:tc>
          <w:tcPr>
            <w:tcW w:w="3595" w:type="dxa"/>
            <w:tcBorders/>
            <w:vAlign w:val="center"/>
          </w:tcPr>
          <w:p>
            <w:pPr>
              <w:pStyle w:val="TableContents"/>
              <w:bidi w:val="0"/>
              <w:spacing w:before="0" w:after="283"/>
              <w:jc w:val="left"/>
              <w:rPr/>
            </w:pPr>
            <w:r>
              <w:rPr/>
              <w:t>28</w:t>
            </w:r>
          </w:p>
        </w:tc>
        <w:tc>
          <w:tcPr>
            <w:tcW w:w="6085" w:type="dxa"/>
            <w:tcBorders/>
            <w:vAlign w:val="center"/>
          </w:tcPr>
          <w:p>
            <w:pPr>
              <w:pStyle w:val="TableContents"/>
              <w:bidi w:val="0"/>
              <w:spacing w:before="0" w:after="283"/>
              <w:jc w:val="both"/>
              <w:rPr/>
            </w:pPr>
            <w:r>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720"/>
        <w:gridCol w:w="9423"/>
      </w:tblGrid>
      <w:tr>
        <w:trPr/>
        <w:tc>
          <w:tcPr>
            <w:tcW w:w="6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pPr>
            <w:r>
              <w:rPr/>
              <w:t>28.1</w:t>
            </w:r>
          </w:p>
        </w:tc>
        <w:tc>
          <w:tcPr>
            <w:tcW w:w="9423" w:type="dxa"/>
            <w:tcBorders/>
            <w:vAlign w:val="center"/>
          </w:tcPr>
          <w:p>
            <w:pPr>
              <w:pStyle w:val="TableContents"/>
              <w:bidi w:val="0"/>
              <w:spacing w:before="0" w:after="283"/>
              <w:jc w:val="both"/>
              <w:rPr/>
            </w:pPr>
            <w:r>
              <w:rPr/>
              <w:t>The Company may have a seal if the Directors so determine.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28.2</w:t>
            </w:r>
          </w:p>
        </w:tc>
        <w:tc>
          <w:tcPr>
            <w:tcW w:w="9728" w:type="dxa"/>
            <w:tcBorders/>
            <w:vAlign w:val="center"/>
          </w:tcPr>
          <w:p>
            <w:pPr>
              <w:pStyle w:val="TableContents"/>
              <w:bidi w:val="0"/>
              <w:spacing w:before="0" w:after="283"/>
              <w:jc w:val="both"/>
              <w:rPr/>
            </w:pPr>
            <w:r>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28.3</w:t>
            </w:r>
          </w:p>
        </w:tc>
        <w:tc>
          <w:tcPr>
            <w:tcW w:w="9728" w:type="dxa"/>
            <w:tcBorders/>
            <w:vAlign w:val="center"/>
          </w:tcPr>
          <w:p>
            <w:pPr>
              <w:pStyle w:val="TableContents"/>
              <w:bidi w:val="0"/>
              <w:spacing w:before="0" w:after="283"/>
              <w:jc w:val="both"/>
              <w:rPr/>
            </w:pPr>
            <w:r>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40"/>
        <w:gridCol w:w="9591"/>
      </w:tblGrid>
      <w:tr>
        <w:trPr/>
        <w:tc>
          <w:tcPr>
            <w:tcW w:w="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pPr>
            <w:r>
              <w:rPr/>
              <w:t>(a)</w:t>
            </w:r>
          </w:p>
        </w:tc>
        <w:tc>
          <w:tcPr>
            <w:tcW w:w="9591" w:type="dxa"/>
            <w:tcBorders/>
            <w:vAlign w:val="center"/>
          </w:tcPr>
          <w:p>
            <w:pPr>
              <w:pStyle w:val="TableContents"/>
              <w:bidi w:val="0"/>
              <w:spacing w:before="0" w:after="283"/>
              <w:jc w:val="both"/>
              <w:rPr/>
            </w:pPr>
            <w:r>
              <w:rPr/>
              <w:t>by a Director (or his alternate) and the Secretary;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65"/>
        <w:gridCol w:w="9341"/>
      </w:tblGrid>
      <w:tr>
        <w:trPr/>
        <w:tc>
          <w:tcPr>
            <w:tcW w:w="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(b)</w:t>
            </w:r>
          </w:p>
        </w:tc>
        <w:tc>
          <w:tcPr>
            <w:tcW w:w="9341" w:type="dxa"/>
            <w:tcBorders/>
            <w:vAlign w:val="center"/>
          </w:tcPr>
          <w:p>
            <w:pPr>
              <w:pStyle w:val="TableContents"/>
              <w:bidi w:val="0"/>
              <w:spacing w:before="0" w:after="283"/>
              <w:jc w:val="both"/>
              <w:rPr/>
            </w:pPr>
            <w:r>
              <w:rPr/>
              <w:t>by a single Director (or his alternate).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28.4</w:t>
            </w:r>
          </w:p>
        </w:tc>
        <w:tc>
          <w:tcPr>
            <w:tcW w:w="9728" w:type="dxa"/>
            <w:tcBorders/>
            <w:vAlign w:val="center"/>
          </w:tcPr>
          <w:p>
            <w:pPr>
              <w:pStyle w:val="TableContents"/>
              <w:bidi w:val="0"/>
              <w:spacing w:before="0" w:after="283"/>
              <w:jc w:val="both"/>
              <w:rPr/>
            </w:pPr>
            <w:r>
              <w:rPr/>
              <w:t>If the Directors do not adopt a seal, or a seal is not used, a document may be executed in the following manner: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by a Director (or his alternate) or any other Officer to which authority has been delegated by resolution duly adopted by the directors;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717"/>
        <w:gridCol w:w="9395"/>
      </w:tblGrid>
      <w:tr>
        <w:trPr/>
        <w:tc>
          <w:tcPr>
            <w:tcW w:w="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(b)</w:t>
            </w:r>
          </w:p>
        </w:tc>
        <w:tc>
          <w:tcPr>
            <w:tcW w:w="9395" w:type="dxa"/>
            <w:tcBorders/>
            <w:vAlign w:val="center"/>
          </w:tcPr>
          <w:p>
            <w:pPr>
              <w:pStyle w:val="TableContents"/>
              <w:bidi w:val="0"/>
              <w:spacing w:before="0" w:after="283"/>
              <w:jc w:val="both"/>
              <w:rPr/>
            </w:pPr>
            <w:r>
              <w:rPr/>
              <w:t>by a single Director (or his alternate);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54"/>
        <w:gridCol w:w="9461"/>
      </w:tblGrid>
      <w:tr>
        <w:trPr/>
        <w:tc>
          <w:tcPr>
            <w:tcW w:w="9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pPr>
            <w:r>
              <w:rPr/>
              <w:t>(c)</w:t>
            </w:r>
          </w:p>
        </w:tc>
        <w:tc>
          <w:tcPr>
            <w:tcW w:w="9461" w:type="dxa"/>
            <w:tcBorders/>
            <w:vAlign w:val="center"/>
          </w:tcPr>
          <w:p>
            <w:pPr>
              <w:pStyle w:val="TableContents"/>
              <w:bidi w:val="0"/>
              <w:spacing w:before="0" w:after="283"/>
              <w:jc w:val="both"/>
              <w:rPr/>
            </w:pPr>
            <w:r>
              <w:rPr/>
              <w:t>in any other manner permitted by the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11"/>
        <w:gridCol w:w="9542"/>
      </w:tblGrid>
      <w:tr>
        <w:trPr/>
        <w:tc>
          <w:tcPr>
            <w:tcW w:w="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28.5</w:t>
            </w:r>
          </w:p>
        </w:tc>
        <w:tc>
          <w:tcPr>
            <w:tcW w:w="9542" w:type="dxa"/>
            <w:tcBorders/>
            <w:vAlign w:val="center"/>
          </w:tcPr>
          <w:p>
            <w:pPr>
              <w:pStyle w:val="TableContents"/>
              <w:bidi w:val="0"/>
              <w:spacing w:before="0" w:after="283"/>
              <w:jc w:val="both"/>
              <w:rPr/>
            </w:pPr>
            <w:r>
              <w:rPr/>
              <w:t>The Directors may determine that either or both of the following applies: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t>that the seal or a duplicate seal need not be affixed manually but may be affixed by some other method or system of reproduction;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283"/>
              <w:jc w:val="both"/>
              <w:rPr/>
            </w:pPr>
            <w:r>
              <w:rPr/>
              <w:t>that a signature required by these Articles need not be manual but may be a mechanical or Electronic 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28.6</w:t>
            </w:r>
          </w:p>
        </w:tc>
        <w:tc>
          <w:tcPr>
            <w:tcW w:w="9728" w:type="dxa"/>
            <w:tcBorders/>
            <w:vAlign w:val="center"/>
          </w:tcPr>
          <w:p>
            <w:pPr>
              <w:pStyle w:val="TableContents"/>
              <w:bidi w:val="0"/>
              <w:spacing w:before="0" w:after="283"/>
              <w:jc w:val="both"/>
              <w:rPr/>
            </w:pPr>
            <w:r>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052"/>
        <w:gridCol w:w="7854"/>
      </w:tblGrid>
      <w:tr>
        <w:trPr/>
        <w:tc>
          <w:tcPr>
            <w:tcW w:w="29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pPr>
            <w:r>
              <w:rPr/>
              <w:t>29</w:t>
            </w:r>
          </w:p>
        </w:tc>
        <w:tc>
          <w:tcPr>
            <w:tcW w:w="7854" w:type="dxa"/>
            <w:tcBorders/>
            <w:vAlign w:val="center"/>
          </w:tcPr>
          <w:p>
            <w:pPr>
              <w:pStyle w:val="TableContents"/>
              <w:bidi w:val="0"/>
              <w:spacing w:before="0" w:after="283"/>
              <w:jc w:val="both"/>
              <w:rPr/>
            </w:pPr>
            <w:r>
              <w:rPr/>
              <w:t>Indemnity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29.1</w:t>
            </w:r>
          </w:p>
        </w:tc>
        <w:tc>
          <w:tcPr>
            <w:tcW w:w="9728" w:type="dxa"/>
            <w:tcBorders/>
            <w:vAlign w:val="center"/>
          </w:tcPr>
          <w:p>
            <w:pPr>
              <w:pStyle w:val="TableContents"/>
              <w:bidi w:val="0"/>
              <w:spacing w:before="0" w:after="283"/>
              <w:jc w:val="both"/>
              <w:rPr/>
            </w:pPr>
            <w:r>
              <w:rPr/>
              <w:t>To the extent permitted by Applicable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actual fraud, wilful default, or wilful neglect.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29.2</w:t>
            </w:r>
          </w:p>
        </w:tc>
        <w:tc>
          <w:tcPr>
            <w:tcW w:w="9728" w:type="dxa"/>
            <w:tcBorders/>
            <w:vAlign w:val="center"/>
          </w:tcPr>
          <w:p>
            <w:pPr>
              <w:pStyle w:val="TableContents"/>
              <w:bidi w:val="0"/>
              <w:spacing w:before="0" w:after="283"/>
              <w:jc w:val="both"/>
              <w:rPr/>
            </w:pPr>
            <w:r>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29.1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29.3</w:t>
            </w:r>
          </w:p>
        </w:tc>
        <w:tc>
          <w:tcPr>
            <w:tcW w:w="9728" w:type="dxa"/>
            <w:tcBorders/>
            <w:vAlign w:val="center"/>
          </w:tcPr>
          <w:p>
            <w:pPr>
              <w:pStyle w:val="TableContents"/>
              <w:bidi w:val="0"/>
              <w:spacing w:before="0" w:after="283"/>
              <w:jc w:val="both"/>
              <w:rPr/>
            </w:pPr>
            <w:r>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29.4</w:t>
            </w:r>
          </w:p>
        </w:tc>
        <w:tc>
          <w:tcPr>
            <w:tcW w:w="9728" w:type="dxa"/>
            <w:tcBorders/>
            <w:vAlign w:val="center"/>
          </w:tcPr>
          <w:p>
            <w:pPr>
              <w:pStyle w:val="TableContents"/>
              <w:bidi w:val="0"/>
              <w:spacing w:before="0" w:after="283"/>
              <w:jc w:val="both"/>
              <w:rPr/>
            </w:pPr>
            <w:r>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4"/>
        <w:gridCol w:w="9860"/>
      </w:tblGrid>
      <w:tr>
        <w:trPr/>
        <w:tc>
          <w:tcPr>
            <w:tcW w:w="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an existing or former Director (including alternate Director), Secretary or Officer or auditor of:</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433"/>
        <w:gridCol w:w="8536"/>
      </w:tblGrid>
      <w:tr>
        <w:trPr/>
        <w:tc>
          <w:tcPr>
            <w:tcW w:w="23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pPr>
            <w:r>
              <w:rPr/>
              <w:t>(i)</w:t>
            </w:r>
          </w:p>
        </w:tc>
        <w:tc>
          <w:tcPr>
            <w:tcW w:w="8536" w:type="dxa"/>
            <w:tcBorders/>
            <w:vAlign w:val="center"/>
          </w:tcPr>
          <w:p>
            <w:pPr>
              <w:pStyle w:val="TableContents"/>
              <w:bidi w:val="0"/>
              <w:spacing w:before="0" w:after="283"/>
              <w:jc w:val="both"/>
              <w:rPr/>
            </w:pPr>
            <w:r>
              <w:rPr/>
              <w:t>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2"/>
        <w:gridCol w:w="9626"/>
      </w:tblGrid>
      <w:tr>
        <w:trPr/>
        <w:tc>
          <w:tcPr>
            <w:tcW w:w="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(ii)</w:t>
            </w:r>
          </w:p>
        </w:tc>
        <w:tc>
          <w:tcPr>
            <w:tcW w:w="9626" w:type="dxa"/>
            <w:tcBorders/>
            <w:vAlign w:val="center"/>
          </w:tcPr>
          <w:p>
            <w:pPr>
              <w:pStyle w:val="TableContents"/>
              <w:bidi w:val="0"/>
              <w:spacing w:before="0" w:after="283"/>
              <w:jc w:val="both"/>
              <w:rPr/>
            </w:pPr>
            <w:r>
              <w:rPr/>
              <w:t>a company which is or was a subsidiary of 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06"/>
        <w:gridCol w:w="9755"/>
      </w:tblGrid>
      <w:tr>
        <w:trPr/>
        <w:tc>
          <w:tcPr>
            <w:tcW w:w="4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(iii)</w:t>
            </w:r>
          </w:p>
        </w:tc>
        <w:tc>
          <w:tcPr>
            <w:tcW w:w="9755" w:type="dxa"/>
            <w:tcBorders/>
            <w:vAlign w:val="center"/>
          </w:tcPr>
          <w:p>
            <w:pPr>
              <w:pStyle w:val="TableContents"/>
              <w:bidi w:val="0"/>
              <w:spacing w:before="0" w:after="283"/>
              <w:jc w:val="both"/>
              <w:rPr/>
            </w:pPr>
            <w:r>
              <w:rPr/>
              <w:t>a company in which the Company has or had an interest (whether direct or indirect);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a trustee of an employee or retirement benefits scheme or other trust in which any of the persons referred to in paragraph (a) is or was interested.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2519"/>
        <w:gridCol w:w="7318"/>
      </w:tblGrid>
      <w:tr>
        <w:trPr/>
        <w:tc>
          <w:tcPr>
            <w:tcW w:w="36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pPr>
            <w:r>
              <w:rPr/>
              <w:t>30</w:t>
            </w:r>
          </w:p>
        </w:tc>
        <w:tc>
          <w:tcPr>
            <w:tcW w:w="7318" w:type="dxa"/>
            <w:tcBorders/>
            <w:vAlign w:val="center"/>
          </w:tcPr>
          <w:p>
            <w:pPr>
              <w:pStyle w:val="TableContents"/>
              <w:bidi w:val="0"/>
              <w:spacing w:before="0" w:after="283"/>
              <w:jc w:val="both"/>
              <w:rPr/>
            </w:pPr>
            <w:r>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30.1</w:t>
            </w:r>
          </w:p>
        </w:tc>
        <w:tc>
          <w:tcPr>
            <w:tcW w:w="9728" w:type="dxa"/>
            <w:tcBorders/>
            <w:vAlign w:val="center"/>
          </w:tcPr>
          <w:p>
            <w:pPr>
              <w:pStyle w:val="TableContents"/>
              <w:bidi w:val="0"/>
              <w:spacing w:before="0" w:after="283"/>
              <w:jc w:val="both"/>
              <w:rPr/>
            </w:pPr>
            <w:r>
              <w:rPr/>
              <w:t>Save where these Articles provide otherwise, and subject to the Designated Stock Exchange Rules, and subject to the Designated Stock Exchange Rules, any notice to be given to or by any person pursuant to these Articles shall be: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1"/>
        <w:gridCol w:w="9863"/>
      </w:tblGrid>
      <w:tr>
        <w:trPr/>
        <w:tc>
          <w:tcPr>
            <w:tcW w:w="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(a)</w:t>
            </w:r>
          </w:p>
        </w:tc>
        <w:tc>
          <w:tcPr>
            <w:tcW w:w="9863" w:type="dxa"/>
            <w:tcBorders/>
            <w:vAlign w:val="center"/>
          </w:tcPr>
          <w:p>
            <w:pPr>
              <w:pStyle w:val="TableContents"/>
              <w:bidi w:val="0"/>
              <w:spacing w:before="0" w:after="283"/>
              <w:jc w:val="both"/>
              <w:rPr/>
            </w:pPr>
            <w:r>
              <w:rPr/>
              <w:t>in writing signed by or on behalf of the giver in the manner set out below for written notices;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61"/>
        <w:gridCol w:w="9795"/>
      </w:tblGrid>
      <w:tr>
        <w:trPr/>
        <w:tc>
          <w:tcPr>
            <w:tcW w:w="4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(c)</w:t>
            </w:r>
          </w:p>
        </w:tc>
        <w:tc>
          <w:tcPr>
            <w:tcW w:w="9795" w:type="dxa"/>
            <w:tcBorders/>
            <w:vAlign w:val="center"/>
          </w:tcPr>
          <w:p>
            <w:pPr>
              <w:pStyle w:val="TableContents"/>
              <w:bidi w:val="0"/>
              <w:spacing w:before="0" w:after="283"/>
              <w:jc w:val="both"/>
              <w:rPr/>
            </w:pPr>
            <w:r>
              <w:rPr/>
              <w:t>where these Articles expressly permit, by the Company by means of a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618"/>
        <w:gridCol w:w="9534"/>
      </w:tblGrid>
      <w:tr>
        <w:trPr/>
        <w:tc>
          <w:tcPr>
            <w:tcW w:w="5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30.2</w:t>
            </w:r>
          </w:p>
        </w:tc>
        <w:tc>
          <w:tcPr>
            <w:tcW w:w="9534" w:type="dxa"/>
            <w:tcBorders/>
            <w:vAlign w:val="center"/>
          </w:tcPr>
          <w:p>
            <w:pPr>
              <w:pStyle w:val="TableContents"/>
              <w:bidi w:val="0"/>
              <w:spacing w:before="0" w:after="283"/>
              <w:jc w:val="both"/>
              <w:rPr/>
            </w:pPr>
            <w:r>
              <w:rPr/>
              <w:t>A notice may only be given to the Company in an Electronic Record if: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068"/>
        <w:gridCol w:w="8990"/>
      </w:tblGrid>
      <w:tr>
        <w:trPr/>
        <w:tc>
          <w:tcPr>
            <w:tcW w:w="14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both"/>
              <w:rPr/>
            </w:pPr>
            <w:r>
              <w:rPr/>
              <w:t>the Directors so resolve;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the resolution states how an Electronic Record may be given and, if applicable, specifies an email address for the Company; and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30.3</w:t>
            </w:r>
          </w:p>
        </w:tc>
        <w:tc>
          <w:tcPr>
            <w:tcW w:w="9728" w:type="dxa"/>
            <w:tcBorders/>
            <w:vAlign w:val="center"/>
          </w:tcPr>
          <w:p>
            <w:pPr>
              <w:pStyle w:val="TableContents"/>
              <w:bidi w:val="0"/>
              <w:spacing w:before="0" w:after="283"/>
              <w:jc w:val="both"/>
              <w:rPr/>
            </w:pPr>
            <w:r>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30.4</w:t>
            </w:r>
          </w:p>
        </w:tc>
        <w:tc>
          <w:tcPr>
            <w:tcW w:w="9728" w:type="dxa"/>
            <w:tcBorders/>
            <w:vAlign w:val="center"/>
          </w:tcPr>
          <w:p>
            <w:pPr>
              <w:pStyle w:val="TableContents"/>
              <w:bidi w:val="0"/>
              <w:spacing w:before="0" w:after="283"/>
              <w:jc w:val="both"/>
              <w:rPr/>
            </w:pPr>
            <w:r>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the Company and the Member have agreed to his having access to the notice or document on a website (instead of it being sent to him);</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74"/>
        <w:gridCol w:w="9670"/>
      </w:tblGrid>
      <w:tr>
        <w:trPr/>
        <w:tc>
          <w:tcPr>
            <w:tcW w:w="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(b)</w:t>
            </w:r>
          </w:p>
        </w:tc>
        <w:tc>
          <w:tcPr>
            <w:tcW w:w="9670" w:type="dxa"/>
            <w:tcBorders/>
            <w:vAlign w:val="center"/>
          </w:tcPr>
          <w:p>
            <w:pPr>
              <w:pStyle w:val="TableContents"/>
              <w:bidi w:val="0"/>
              <w:spacing w:before="0" w:after="283"/>
              <w:jc w:val="both"/>
              <w:rPr/>
            </w:pPr>
            <w:r>
              <w:rPr/>
              <w:t>the notice or document is one to which that agreement applies;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the Member is notified (in accordance with any requirements laid down by the Act and, in a manner for the time being agreed between him and the Company for the purpose) of:</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29"/>
        <w:gridCol w:w="9706"/>
      </w:tblGrid>
      <w:tr>
        <w:trPr/>
        <w:tc>
          <w:tcPr>
            <w:tcW w:w="7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(i)</w:t>
            </w:r>
          </w:p>
        </w:tc>
        <w:tc>
          <w:tcPr>
            <w:tcW w:w="9706" w:type="dxa"/>
            <w:tcBorders/>
            <w:vAlign w:val="center"/>
          </w:tcPr>
          <w:p>
            <w:pPr>
              <w:pStyle w:val="TableContents"/>
              <w:bidi w:val="0"/>
              <w:spacing w:before="0" w:after="283"/>
              <w:jc w:val="both"/>
              <w:rPr/>
            </w:pPr>
            <w:r>
              <w:rPr/>
              <w:t>the publication of the notice or document on a website;</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892"/>
        <w:gridCol w:w="9197"/>
      </w:tblGrid>
      <w:tr>
        <w:trPr/>
        <w:tc>
          <w:tcPr>
            <w:tcW w:w="1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pPr>
            <w:r>
              <w:rPr/>
              <w:t>(ii)</w:t>
            </w:r>
          </w:p>
        </w:tc>
        <w:tc>
          <w:tcPr>
            <w:tcW w:w="9197" w:type="dxa"/>
            <w:tcBorders/>
            <w:vAlign w:val="center"/>
          </w:tcPr>
          <w:p>
            <w:pPr>
              <w:pStyle w:val="TableContents"/>
              <w:bidi w:val="0"/>
              <w:spacing w:before="0" w:after="283"/>
              <w:jc w:val="both"/>
              <w:rPr/>
            </w:pPr>
            <w:r>
              <w:rPr/>
              <w:t>the address of that website; and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place on that website where the notice or document may be accessed, and how it may be accessed;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30.4 “publication period” means a period of not less than twenty-one days, beginning on the day on which the notification referred to in Article 30.4(c) is deemed 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30.5</w:t>
            </w:r>
          </w:p>
        </w:tc>
        <w:tc>
          <w:tcPr>
            <w:tcW w:w="9728" w:type="dxa"/>
            <w:tcBorders/>
            <w:vAlign w:val="center"/>
          </w:tcPr>
          <w:p>
            <w:pPr>
              <w:pStyle w:val="TableContents"/>
              <w:bidi w:val="0"/>
              <w:spacing w:before="0" w:after="283"/>
              <w:jc w:val="both"/>
              <w:rPr/>
            </w:pPr>
            <w:r>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30.6</w:t>
            </w:r>
          </w:p>
        </w:tc>
        <w:tc>
          <w:tcPr>
            <w:tcW w:w="9728" w:type="dxa"/>
            <w:tcBorders/>
            <w:vAlign w:val="center"/>
          </w:tcPr>
          <w:p>
            <w:pPr>
              <w:pStyle w:val="TableContents"/>
              <w:bidi w:val="0"/>
              <w:spacing w:before="0" w:after="283"/>
              <w:jc w:val="both"/>
              <w:rPr/>
            </w:pPr>
            <w:r>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30.7</w:t>
            </w:r>
          </w:p>
        </w:tc>
        <w:tc>
          <w:tcPr>
            <w:tcW w:w="9728" w:type="dxa"/>
            <w:tcBorders/>
            <w:vAlign w:val="center"/>
          </w:tcPr>
          <w:p>
            <w:pPr>
              <w:pStyle w:val="TableContents"/>
              <w:bidi w:val="0"/>
              <w:spacing w:before="0" w:after="283"/>
              <w:jc w:val="both"/>
              <w:rPr/>
            </w:pPr>
            <w:r>
              <w:rPr/>
              <w:t>Save where these Articles provide otherwise, a notice in writing may be given personally to the recipient, or delivered by electronic record to the recipient’s electronic address or posted to or left at (as appropriate) the Member’s or Director’s registered address (in each case, to the extent that such address has been notified to the registered office of the Company or to the maintainer of the register of members of the Company) or the Company’s registered office, or posted to that registered address or registered office.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30.8</w:t>
            </w:r>
          </w:p>
        </w:tc>
        <w:tc>
          <w:tcPr>
            <w:tcW w:w="9728" w:type="dxa"/>
            <w:tcBorders/>
            <w:vAlign w:val="center"/>
          </w:tcPr>
          <w:p>
            <w:pPr>
              <w:pStyle w:val="TableContents"/>
              <w:bidi w:val="0"/>
              <w:spacing w:before="0" w:after="283"/>
              <w:jc w:val="both"/>
              <w:rPr/>
            </w:pPr>
            <w:r>
              <w:rPr/>
              <w:t>Where Members are joint holders of a Share, all notices shall be given to the Member whose name first appears in the register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30.9</w:t>
            </w:r>
          </w:p>
        </w:tc>
        <w:tc>
          <w:tcPr>
            <w:tcW w:w="9728" w:type="dxa"/>
            <w:tcBorders/>
            <w:vAlign w:val="center"/>
          </w:tcPr>
          <w:p>
            <w:pPr>
              <w:pStyle w:val="TableContents"/>
              <w:bidi w:val="0"/>
              <w:spacing w:before="0" w:after="283"/>
              <w:jc w:val="both"/>
              <w:rPr/>
            </w:pPr>
            <w:r>
              <w:rPr/>
              <w:t>A written notice shall be signed when it is autographed by or on behalf of the giver, or is marked in such a way as to indicate its execution or adoption by the giver.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846"/>
        <w:gridCol w:w="9302"/>
      </w:tblGrid>
      <w:tr>
        <w:trPr/>
        <w:tc>
          <w:tcPr>
            <w:tcW w:w="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pPr>
            <w:r>
              <w:rPr/>
              <w:t>30.10</w:t>
            </w:r>
          </w:p>
        </w:tc>
        <w:tc>
          <w:tcPr>
            <w:tcW w:w="9302" w:type="dxa"/>
            <w:tcBorders/>
            <w:vAlign w:val="center"/>
          </w:tcPr>
          <w:p>
            <w:pPr>
              <w:pStyle w:val="TableContents"/>
              <w:bidi w:val="0"/>
              <w:spacing w:before="0" w:after="283"/>
              <w:jc w:val="both"/>
              <w:rPr/>
            </w:pPr>
            <w:r>
              <w:rPr/>
              <w:t>An Electronic Record may be signed by an Electronic 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30.11</w:t>
            </w:r>
          </w:p>
        </w:tc>
        <w:tc>
          <w:tcPr>
            <w:tcW w:w="9608" w:type="dxa"/>
            <w:tcBorders/>
            <w:vAlign w:val="center"/>
          </w:tcPr>
          <w:p>
            <w:pPr>
              <w:pStyle w:val="TableContents"/>
              <w:bidi w:val="0"/>
              <w:spacing w:before="0" w:after="283"/>
              <w:jc w:val="both"/>
              <w:rPr/>
            </w:pPr>
            <w:r>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30.12</w:t>
            </w:r>
          </w:p>
        </w:tc>
        <w:tc>
          <w:tcPr>
            <w:tcW w:w="9608" w:type="dxa"/>
            <w:tcBorders/>
            <w:vAlign w:val="center"/>
          </w:tcPr>
          <w:p>
            <w:pPr>
              <w:pStyle w:val="TableContents"/>
              <w:bidi w:val="0"/>
              <w:spacing w:before="0" w:after="283"/>
              <w:jc w:val="both"/>
              <w:rPr/>
            </w:pPr>
            <w:r>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30.13</w:t>
            </w:r>
          </w:p>
        </w:tc>
        <w:tc>
          <w:tcPr>
            <w:tcW w:w="9608" w:type="dxa"/>
            <w:tcBorders/>
            <w:vAlign w:val="center"/>
          </w:tcPr>
          <w:p>
            <w:pPr>
              <w:pStyle w:val="TableContents"/>
              <w:bidi w:val="0"/>
              <w:spacing w:before="0" w:after="283"/>
              <w:jc w:val="both"/>
              <w:rPr/>
            </w:pPr>
            <w:r>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30.14</w:t>
            </w:r>
          </w:p>
        </w:tc>
        <w:tc>
          <w:tcPr>
            <w:tcW w:w="9608" w:type="dxa"/>
            <w:tcBorders/>
            <w:vAlign w:val="center"/>
          </w:tcPr>
          <w:p>
            <w:pPr>
              <w:pStyle w:val="TableContents"/>
              <w:bidi w:val="0"/>
              <w:spacing w:before="0" w:after="283"/>
              <w:jc w:val="both"/>
              <w:rPr/>
            </w:pPr>
            <w:r>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30.15</w:t>
            </w:r>
          </w:p>
        </w:tc>
        <w:tc>
          <w:tcPr>
            <w:tcW w:w="9608" w:type="dxa"/>
            <w:tcBorders/>
            <w:vAlign w:val="center"/>
          </w:tcPr>
          <w:p>
            <w:pPr>
              <w:pStyle w:val="TableContents"/>
              <w:bidi w:val="0"/>
              <w:spacing w:before="0" w:after="283"/>
              <w:jc w:val="both"/>
              <w:rPr/>
            </w:pPr>
            <w:r>
              <w:rPr/>
              <w:t>Until such an address has been supplied, a notice may be given in any manner in which it might have been given if the death or bankruptcy had not occurred.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892"/>
        <w:gridCol w:w="9253"/>
      </w:tblGrid>
      <w:tr>
        <w:trPr/>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pPr>
            <w:r>
              <w:rPr/>
              <w:t>30.16</w:t>
            </w:r>
          </w:p>
        </w:tc>
        <w:tc>
          <w:tcPr>
            <w:tcW w:w="9253" w:type="dxa"/>
            <w:tcBorders/>
            <w:vAlign w:val="center"/>
          </w:tcPr>
          <w:p>
            <w:pPr>
              <w:pStyle w:val="TableContents"/>
              <w:bidi w:val="0"/>
              <w:spacing w:before="0" w:after="283"/>
              <w:jc w:val="both"/>
              <w:rPr/>
            </w:pPr>
            <w:r>
              <w:rPr/>
              <w:t>A notice is given on the date identified in the following table:</w:t>
            </w:r>
          </w:p>
        </w:tc>
      </w:tr>
    </w:tbl>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b/>
                <w:sz w:val="20"/>
              </w:rPr>
            </w:pPr>
            <w:r>
              <w:rPr>
                <w:b/>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30.17</w:t>
            </w:r>
          </w:p>
        </w:tc>
        <w:tc>
          <w:tcPr>
            <w:tcW w:w="9608" w:type="dxa"/>
            <w:tcBorders/>
            <w:vAlign w:val="center"/>
          </w:tcPr>
          <w:p>
            <w:pPr>
              <w:pStyle w:val="TableContents"/>
              <w:bidi w:val="0"/>
              <w:spacing w:before="0" w:after="283"/>
              <w:jc w:val="both"/>
              <w:rPr/>
            </w:pPr>
            <w:r>
              <w:rPr/>
              <w:t>None of the preceding notice provisions shall derogate from the Articles about the delivery of written resolutions of Directors.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691"/>
        <w:gridCol w:w="9414"/>
      </w:tblGrid>
      <w:tr>
        <w:trPr/>
        <w:tc>
          <w:tcPr>
            <w:tcW w:w="1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31</w:t>
            </w:r>
          </w:p>
        </w:tc>
        <w:tc>
          <w:tcPr>
            <w:tcW w:w="9414" w:type="dxa"/>
            <w:tcBorders/>
            <w:vAlign w:val="center"/>
          </w:tcPr>
          <w:p>
            <w:pPr>
              <w:pStyle w:val="TableContents"/>
              <w:bidi w:val="0"/>
              <w:spacing w:before="0" w:after="283"/>
              <w:jc w:val="both"/>
              <w:rPr/>
            </w:pPr>
            <w:r>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31.1</w:t>
            </w:r>
          </w:p>
        </w:tc>
        <w:tc>
          <w:tcPr>
            <w:tcW w:w="9728" w:type="dxa"/>
            <w:tcBorders/>
            <w:vAlign w:val="center"/>
          </w:tcPr>
          <w:p>
            <w:pPr>
              <w:pStyle w:val="TableContents"/>
              <w:bidi w:val="0"/>
              <w:spacing w:before="0" w:after="283"/>
              <w:jc w:val="both"/>
              <w:rPr/>
            </w:pPr>
            <w:r>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31.2 or Article 31.4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31.2</w:t>
            </w:r>
          </w:p>
        </w:tc>
        <w:tc>
          <w:tcPr>
            <w:tcW w:w="9728" w:type="dxa"/>
            <w:tcBorders/>
            <w:vAlign w:val="center"/>
          </w:tcPr>
          <w:p>
            <w:pPr>
              <w:pStyle w:val="TableContents"/>
              <w:bidi w:val="0"/>
              <w:spacing w:before="0" w:after="283"/>
              <w:jc w:val="both"/>
              <w:rPr/>
            </w:pPr>
            <w:r>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 xml:space="preserve">the Member or each Member, as the case may be, signed the original document, and for this purpose </w:t>
            </w:r>
            <w:r>
              <w:rPr>
                <w:b/>
              </w:rPr>
              <w:t>Original Document</w:t>
            </w:r>
            <w:r>
              <w:rPr/>
              <w:t xml:space="preserve"> includes several documents in like form signed by one or more of those Members; and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944"/>
        <w:gridCol w:w="9131"/>
      </w:tblGrid>
      <w:tr>
        <w:trPr/>
        <w:tc>
          <w:tcPr>
            <w:tcW w:w="13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pPr>
            <w:r>
              <w:rPr/>
              <w:t>(c)</w:t>
            </w:r>
          </w:p>
        </w:tc>
        <w:tc>
          <w:tcPr>
            <w:tcW w:w="9131" w:type="dxa"/>
            <w:tcBorders/>
            <w:vAlign w:val="center"/>
          </w:tcPr>
          <w:p>
            <w:pPr>
              <w:pStyle w:val="TableContents"/>
              <w:bidi w:val="0"/>
              <w:spacing w:before="0" w:after="283"/>
              <w:jc w:val="both"/>
              <w:rPr/>
            </w:pPr>
            <w:r>
              <w:rPr/>
              <w:t>Article 31.7 does not apply.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31.3</w:t>
            </w:r>
          </w:p>
        </w:tc>
        <w:tc>
          <w:tcPr>
            <w:tcW w:w="9728" w:type="dxa"/>
            <w:tcBorders/>
            <w:vAlign w:val="center"/>
          </w:tcPr>
          <w:p>
            <w:pPr>
              <w:pStyle w:val="TableContents"/>
              <w:bidi w:val="0"/>
              <w:spacing w:before="0" w:after="283"/>
              <w:jc w:val="both"/>
              <w:rPr/>
            </w:pPr>
            <w:r>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30.7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31.4</w:t>
            </w:r>
          </w:p>
        </w:tc>
        <w:tc>
          <w:tcPr>
            <w:tcW w:w="9728" w:type="dxa"/>
            <w:tcBorders/>
            <w:vAlign w:val="center"/>
          </w:tcPr>
          <w:p>
            <w:pPr>
              <w:pStyle w:val="TableContents"/>
              <w:bidi w:val="0"/>
              <w:spacing w:before="0" w:after="283"/>
              <w:jc w:val="both"/>
              <w:rPr/>
            </w:pPr>
            <w:r>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 xml:space="preserve">the Secretary or the Officer or each Officer, as the case may be, signed the original document, and for this purpose </w:t>
            </w:r>
            <w:r>
              <w:rPr>
                <w:b/>
              </w:rPr>
              <w:t>Original Document</w:t>
            </w:r>
            <w:r>
              <w:rPr/>
              <w:t xml:space="preserve"> includes several documents in like form signed by the Secretary or one or more of those Officers;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944"/>
        <w:gridCol w:w="9131"/>
      </w:tblGrid>
      <w:tr>
        <w:trPr/>
        <w:tc>
          <w:tcPr>
            <w:tcW w:w="13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pPr>
            <w:r>
              <w:rPr/>
              <w:t>(c)</w:t>
            </w:r>
          </w:p>
        </w:tc>
        <w:tc>
          <w:tcPr>
            <w:tcW w:w="9131" w:type="dxa"/>
            <w:tcBorders/>
            <w:vAlign w:val="center"/>
          </w:tcPr>
          <w:p>
            <w:pPr>
              <w:pStyle w:val="TableContents"/>
              <w:bidi w:val="0"/>
              <w:spacing w:before="0" w:after="283"/>
              <w:jc w:val="both"/>
              <w:rPr/>
            </w:pPr>
            <w:r>
              <w:rPr/>
              <w:t>Article 31.7 does not apply.</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31.4 applies whether the document is sent by or on behalf of the Secretary or Officer in his own right or as a representative of the Company.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31.5</w:t>
            </w:r>
          </w:p>
        </w:tc>
        <w:tc>
          <w:tcPr>
            <w:tcW w:w="9728" w:type="dxa"/>
            <w:tcBorders/>
            <w:vAlign w:val="center"/>
          </w:tcPr>
          <w:p>
            <w:pPr>
              <w:pStyle w:val="TableContents"/>
              <w:bidi w:val="0"/>
              <w:spacing w:before="0" w:after="283"/>
              <w:jc w:val="both"/>
              <w:rPr/>
            </w:pPr>
            <w:r>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31.7 applies.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31.6</w:t>
            </w:r>
          </w:p>
        </w:tc>
        <w:tc>
          <w:tcPr>
            <w:tcW w:w="9728" w:type="dxa"/>
            <w:tcBorders/>
            <w:vAlign w:val="center"/>
          </w:tcPr>
          <w:p>
            <w:pPr>
              <w:pStyle w:val="TableContents"/>
              <w:bidi w:val="0"/>
              <w:spacing w:before="0" w:after="283"/>
              <w:jc w:val="both"/>
              <w:rPr/>
            </w:pPr>
            <w:r>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31.7</w:t>
            </w:r>
          </w:p>
        </w:tc>
        <w:tc>
          <w:tcPr>
            <w:tcW w:w="9728" w:type="dxa"/>
            <w:tcBorders/>
            <w:vAlign w:val="center"/>
          </w:tcPr>
          <w:p>
            <w:pPr>
              <w:pStyle w:val="TableContents"/>
              <w:bidi w:val="0"/>
              <w:spacing w:before="0" w:after="283"/>
              <w:jc w:val="both"/>
              <w:rPr/>
            </w:pPr>
            <w:r>
              <w:rPr/>
              <w:t>A notice, written resolution or other document under these Articles will not be deemed to be authentic if the recipient, acting reasonably: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believes that the signature of the signatory has been altered after the signatory had signed the original document;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believes that the original document, or the Electronic Record of it, was altered, without the approval of the signatory, after the signatory signed the original document;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78"/>
        <w:gridCol w:w="9775"/>
      </w:tblGrid>
      <w:tr>
        <w:trPr/>
        <w:tc>
          <w:tcPr>
            <w:tcW w:w="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(c)</w:t>
            </w:r>
          </w:p>
        </w:tc>
        <w:tc>
          <w:tcPr>
            <w:tcW w:w="9775" w:type="dxa"/>
            <w:tcBorders/>
            <w:vAlign w:val="center"/>
          </w:tcPr>
          <w:p>
            <w:pPr>
              <w:pStyle w:val="TableContents"/>
              <w:bidi w:val="0"/>
              <w:spacing w:before="0" w:after="283"/>
              <w:jc w:val="both"/>
              <w:rPr/>
            </w:pPr>
            <w:r>
              <w:rPr/>
              <w:t>otherwise doubts the authenticity of the Electronic Record of the document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786"/>
        <w:gridCol w:w="9305"/>
      </w:tblGrid>
      <w:tr>
        <w:trPr/>
        <w:tc>
          <w:tcPr>
            <w:tcW w:w="11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32</w:t>
            </w:r>
          </w:p>
        </w:tc>
        <w:tc>
          <w:tcPr>
            <w:tcW w:w="9305" w:type="dxa"/>
            <w:tcBorders/>
            <w:vAlign w:val="center"/>
          </w:tcPr>
          <w:p>
            <w:pPr>
              <w:pStyle w:val="TableContents"/>
              <w:bidi w:val="0"/>
              <w:spacing w:before="0" w:after="283"/>
              <w:jc w:val="both"/>
              <w:rPr/>
            </w:pPr>
            <w:r>
              <w:rPr/>
              <w:t>Transfer by way of continuation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32.1</w:t>
            </w:r>
          </w:p>
        </w:tc>
        <w:tc>
          <w:tcPr>
            <w:tcW w:w="9728" w:type="dxa"/>
            <w:tcBorders/>
            <w:vAlign w:val="center"/>
          </w:tcPr>
          <w:p>
            <w:pPr>
              <w:pStyle w:val="TableContents"/>
              <w:bidi w:val="0"/>
              <w:spacing w:before="0" w:after="283"/>
              <w:jc w:val="both"/>
              <w:rPr/>
            </w:pPr>
            <w:r>
              <w:rPr/>
              <w:t>The Company may, by Special Resolution, resolve to be registered by way of continuation in a jurisdiction outside: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113"/>
        <w:gridCol w:w="8939"/>
      </w:tblGrid>
      <w:tr>
        <w:trPr/>
        <w:tc>
          <w:tcPr>
            <w:tcW w:w="15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both"/>
              <w:rPr/>
            </w:pPr>
            <w:r>
              <w:rPr/>
              <w:t>the Cayman Islands;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0"/>
        <w:gridCol w:w="9832"/>
      </w:tblGrid>
      <w:tr>
        <w:trPr/>
        <w:tc>
          <w:tcPr>
            <w:tcW w:w="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(b)</w:t>
            </w:r>
          </w:p>
        </w:tc>
        <w:tc>
          <w:tcPr>
            <w:tcW w:w="9832" w:type="dxa"/>
            <w:tcBorders/>
            <w:vAlign w:val="center"/>
          </w:tcPr>
          <w:p>
            <w:pPr>
              <w:pStyle w:val="TableContents"/>
              <w:bidi w:val="0"/>
              <w:spacing w:before="0" w:after="283"/>
              <w:jc w:val="both"/>
              <w:rPr/>
            </w:pPr>
            <w:r>
              <w:rPr/>
              <w:t>such other jurisdiction in which it is, for the time being, incorporated, registered or existing.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32.2</w:t>
            </w:r>
          </w:p>
        </w:tc>
        <w:tc>
          <w:tcPr>
            <w:tcW w:w="9728" w:type="dxa"/>
            <w:tcBorders/>
            <w:vAlign w:val="center"/>
          </w:tcPr>
          <w:p>
            <w:pPr>
              <w:pStyle w:val="TableContents"/>
              <w:bidi w:val="0"/>
              <w:spacing w:before="0" w:after="283"/>
              <w:jc w:val="both"/>
              <w:rPr/>
            </w:pPr>
            <w:r>
              <w:rPr/>
              <w:t>To give effect to any resolution made pursuant to the preceding Article, the Directors may cause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all such further steps as they consider appropriate to be taken to effect the transfer by way of continuation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1820"/>
        <w:gridCol w:w="8120"/>
      </w:tblGrid>
      <w:tr>
        <w:trPr/>
        <w:tc>
          <w:tcPr>
            <w:tcW w:w="26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pPr>
            <w:r>
              <w:rPr/>
              <w:t>33</w:t>
            </w:r>
          </w:p>
        </w:tc>
        <w:tc>
          <w:tcPr>
            <w:tcW w:w="8120" w:type="dxa"/>
            <w:tcBorders/>
            <w:vAlign w:val="center"/>
          </w:tcPr>
          <w:p>
            <w:pPr>
              <w:pStyle w:val="TableContents"/>
              <w:bidi w:val="0"/>
              <w:spacing w:before="0" w:after="283"/>
              <w:jc w:val="both"/>
              <w:rPr/>
            </w:pPr>
            <w:r>
              <w:rPr/>
              <w:t>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33.1</w:t>
            </w:r>
          </w:p>
        </w:tc>
        <w:tc>
          <w:tcPr>
            <w:tcW w:w="9728" w:type="dxa"/>
            <w:tcBorders/>
            <w:vAlign w:val="center"/>
          </w:tcPr>
          <w:p>
            <w:pPr>
              <w:pStyle w:val="TableContents"/>
              <w:bidi w:val="0"/>
              <w:spacing w:before="0" w:after="283"/>
              <w:jc w:val="both"/>
              <w:rPr/>
            </w:pPr>
            <w:r>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to vest the whole or any part of the assets in trustees for the benefit of Members and those liable to contribute to the winding up.</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28"/>
        <w:gridCol w:w="9632"/>
      </w:tblGrid>
      <w:tr>
        <w:trPr/>
        <w:tc>
          <w:tcPr>
            <w:tcW w:w="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33.2</w:t>
            </w:r>
          </w:p>
        </w:tc>
        <w:tc>
          <w:tcPr>
            <w:tcW w:w="9632" w:type="dxa"/>
            <w:tcBorders/>
            <w:vAlign w:val="center"/>
          </w:tcPr>
          <w:p>
            <w:pPr>
              <w:pStyle w:val="TableContents"/>
              <w:bidi w:val="0"/>
              <w:spacing w:before="0" w:after="283"/>
              <w:jc w:val="both"/>
              <w:rPr/>
            </w:pPr>
            <w:r>
              <w:rPr/>
              <w:t>No Member shall be compelled to accept any assets if an obligation attaches to them.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712"/>
        <w:gridCol w:w="9432"/>
      </w:tblGrid>
      <w:tr>
        <w:trPr/>
        <w:tc>
          <w:tcPr>
            <w:tcW w:w="6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pPr>
            <w:r>
              <w:rPr/>
              <w:t>33.3</w:t>
            </w:r>
          </w:p>
        </w:tc>
        <w:tc>
          <w:tcPr>
            <w:tcW w:w="9432" w:type="dxa"/>
            <w:tcBorders/>
            <w:vAlign w:val="center"/>
          </w:tcPr>
          <w:p>
            <w:pPr>
              <w:pStyle w:val="TableContents"/>
              <w:bidi w:val="0"/>
              <w:spacing w:before="0" w:after="283"/>
              <w:jc w:val="both"/>
              <w:rPr/>
            </w:pPr>
            <w:r>
              <w:rPr/>
              <w:t>The Directors are authorised to present a winding up petition.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33.4</w:t>
            </w:r>
          </w:p>
        </w:tc>
        <w:tc>
          <w:tcPr>
            <w:tcW w:w="9728" w:type="dxa"/>
            <w:tcBorders/>
            <w:vAlign w:val="center"/>
          </w:tcPr>
          <w:p>
            <w:pPr>
              <w:pStyle w:val="TableContents"/>
              <w:bidi w:val="0"/>
              <w:spacing w:before="0" w:after="283"/>
              <w:jc w:val="both"/>
              <w:rPr/>
            </w:pPr>
            <w:r>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14"/>
        <w:gridCol w:w="9502"/>
      </w:tblGrid>
      <w:tr>
        <w:trPr/>
        <w:tc>
          <w:tcPr>
            <w:tcW w:w="8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pPr>
            <w:r>
              <w:rPr/>
              <w:t>34</w:t>
            </w:r>
          </w:p>
        </w:tc>
        <w:tc>
          <w:tcPr>
            <w:tcW w:w="9502" w:type="dxa"/>
            <w:tcBorders/>
            <w:vAlign w:val="center"/>
          </w:tcPr>
          <w:p>
            <w:pPr>
              <w:pStyle w:val="TableContents"/>
              <w:bidi w:val="0"/>
              <w:spacing w:before="0" w:after="283"/>
              <w:jc w:val="both"/>
              <w:rPr/>
            </w:pPr>
            <w:r>
              <w:rPr/>
              <w:t>Liquidation preference and exit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34.1</w:t>
            </w:r>
          </w:p>
        </w:tc>
        <w:tc>
          <w:tcPr>
            <w:tcW w:w="9728" w:type="dxa"/>
            <w:tcBorders/>
            <w:vAlign w:val="center"/>
          </w:tcPr>
          <w:p>
            <w:pPr>
              <w:pStyle w:val="TableContents"/>
              <w:bidi w:val="0"/>
              <w:spacing w:before="0" w:after="283"/>
              <w:jc w:val="both"/>
              <w:rPr/>
            </w:pPr>
            <w:r>
              <w:rPr/>
              <w:t>Upon a Deemed Liquidation Event, Disposal or on a distribution of assets on a liquidation, dissolution or winding up of the Company (whether voluntarily or involuntarily) or a return of capital (other than a conversion, redemption, buyback or purchase of Shares) the Available Proceeds shall be distributed (to the extent that the Company is lawfully permitted to do so):</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first to each of the Series A Shareholders, in priority to any distribution pursuant to Article 34.1(b), an amount per Series A Share held equal to the greater of (i) 100% of Accrued Value in respect of such Series A Share and (ii) the amount per Share as would have been payable had all Series A Shares been converted into Ordinary Shares in accordance with these Articles immediately prior to such liquidation, dissolution, winding up, Disposal or Deemed Liquidation Event based on the then effective rate of conversion;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4"/>
        <w:gridCol w:w="9816"/>
      </w:tblGrid>
      <w:tr>
        <w:trPr/>
        <w:tc>
          <w:tcPr>
            <w:tcW w:w="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(b)</w:t>
            </w:r>
          </w:p>
        </w:tc>
        <w:tc>
          <w:tcPr>
            <w:tcW w:w="9816" w:type="dxa"/>
            <w:tcBorders/>
            <w:vAlign w:val="center"/>
          </w:tcPr>
          <w:p>
            <w:pPr>
              <w:pStyle w:val="TableContents"/>
              <w:bidi w:val="0"/>
              <w:spacing w:before="0" w:after="283"/>
              <w:jc w:val="both"/>
              <w:rPr/>
            </w:pPr>
            <w:r>
              <w:rPr/>
              <w:t>thereafter, among the holders of Ordinary Shares pro rata to the number of Shares held.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any such liquidation, dissolution or winding up of the Company, Disposal or Deemed Liquidation Event, the assets of the Company available for distribution to its Members shall be insufficient to pay the Series A Shareholders the full amount to which they shall be entitled under Article 34.1, the Series A Shareholders shall share rateably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99"/>
        <w:gridCol w:w="9664"/>
      </w:tblGrid>
      <w:tr>
        <w:trPr/>
        <w:tc>
          <w:tcPr>
            <w:tcW w:w="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34.2</w:t>
            </w:r>
          </w:p>
        </w:tc>
        <w:tc>
          <w:tcPr>
            <w:tcW w:w="9664" w:type="dxa"/>
            <w:tcBorders/>
            <w:vAlign w:val="center"/>
          </w:tcPr>
          <w:p>
            <w:pPr>
              <w:pStyle w:val="TableContents"/>
              <w:bidi w:val="0"/>
              <w:spacing w:before="0" w:after="283"/>
              <w:jc w:val="both"/>
              <w:rPr/>
            </w:pPr>
            <w:r>
              <w:rPr/>
              <w:t>In the event that any distributions under Article 34.1 are made on more than one occasion: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each distribution shall be made in accordance with Article 34.1 as if it were the only amount to be distributed and without regard to the expected amount of any distributions expected to made on any further occasions;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a distribution on any further occasion shall be made in accordance with Article 34.1 after taking into account any previous distributions made under Article 34.1.</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34.3</w:t>
            </w:r>
          </w:p>
        </w:tc>
        <w:tc>
          <w:tcPr>
            <w:tcW w:w="9728" w:type="dxa"/>
            <w:tcBorders/>
            <w:vAlign w:val="center"/>
          </w:tcPr>
          <w:p>
            <w:pPr>
              <w:pStyle w:val="TableContents"/>
              <w:bidi w:val="0"/>
              <w:spacing w:before="0" w:after="283"/>
              <w:jc w:val="both"/>
              <w:rPr/>
            </w:pPr>
            <w:r>
              <w:rPr/>
              <w:t>If any distribution under Article 34.1 includes any non-cash assets, proceeds or other amounts (</w:t>
            </w:r>
            <w:r>
              <w:rPr>
                <w:b/>
              </w:rPr>
              <w:t>Non-Cash Consideration</w:t>
            </w:r>
            <w:r>
              <w:rPr/>
              <w:t>) the cash equivalent value of any such Non-Cash Consideration shall be determined in such manner as the Board (acting reasonably and in good faith and with Series A Majority Consent) may determine.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34.4</w:t>
            </w:r>
          </w:p>
        </w:tc>
        <w:tc>
          <w:tcPr>
            <w:tcW w:w="9728" w:type="dxa"/>
            <w:tcBorders/>
            <w:vAlign w:val="center"/>
          </w:tcPr>
          <w:p>
            <w:pPr>
              <w:pStyle w:val="TableContents"/>
              <w:bidi w:val="0"/>
              <w:spacing w:before="0" w:after="283"/>
              <w:jc w:val="both"/>
              <w:rPr/>
            </w:pPr>
            <w:r>
              <w:rPr/>
              <w:t>In the event of a Deemed Liquidation Event, the Available Proceeds shall be distributed as if such Available Proceeds were Surplus Assets being applied in the order of priority set out in Article 34.1.</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09"/>
        <w:gridCol w:w="9507"/>
      </w:tblGrid>
      <w:tr>
        <w:trPr/>
        <w:tc>
          <w:tcPr>
            <w:tcW w:w="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pPr>
            <w:r>
              <w:rPr/>
              <w:t>35</w:t>
            </w:r>
          </w:p>
        </w:tc>
        <w:tc>
          <w:tcPr>
            <w:tcW w:w="9507" w:type="dxa"/>
            <w:tcBorders/>
            <w:vAlign w:val="center"/>
          </w:tcPr>
          <w:p>
            <w:pPr>
              <w:pStyle w:val="TableContents"/>
              <w:bidi w:val="0"/>
              <w:spacing w:before="0" w:after="283"/>
              <w:jc w:val="both"/>
              <w:rPr/>
            </w:pPr>
            <w:r>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711"/>
        <w:gridCol w:w="9433"/>
      </w:tblGrid>
      <w:tr>
        <w:trPr/>
        <w:tc>
          <w:tcPr>
            <w:tcW w:w="6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35.1</w:t>
            </w:r>
          </w:p>
        </w:tc>
        <w:tc>
          <w:tcPr>
            <w:tcW w:w="9433" w:type="dxa"/>
            <w:tcBorders/>
            <w:vAlign w:val="center"/>
          </w:tcPr>
          <w:p>
            <w:pPr>
              <w:pStyle w:val="TableContents"/>
              <w:bidi w:val="0"/>
              <w:spacing w:before="0" w:after="283"/>
              <w:jc w:val="both"/>
              <w:rPr/>
            </w:pPr>
            <w:r>
              <w:rPr/>
              <w:t>Subject to the Act, the Company may, by Special Resolution: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(a)</w:t>
            </w:r>
          </w:p>
        </w:tc>
        <w:tc>
          <w:tcPr>
            <w:tcW w:w="8739" w:type="dxa"/>
            <w:tcBorders/>
            <w:vAlign w:val="center"/>
          </w:tcPr>
          <w:p>
            <w:pPr>
              <w:pStyle w:val="TableContents"/>
              <w:bidi w:val="0"/>
              <w:spacing w:before="0" w:after="283"/>
              <w:jc w:val="both"/>
              <w:rPr/>
            </w:pPr>
            <w:r>
              <w:rPr/>
              <w:t>change its name;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change the provisions of its Memorandum with respect to its objects, powers or any other matter specified in the Memorandum.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35.2</w:t>
            </w:r>
          </w:p>
        </w:tc>
        <w:tc>
          <w:tcPr>
            <w:tcW w:w="9728" w:type="dxa"/>
            <w:tcBorders/>
            <w:vAlign w:val="center"/>
          </w:tcPr>
          <w:p>
            <w:pPr>
              <w:pStyle w:val="TableContents"/>
              <w:bidi w:val="0"/>
              <w:spacing w:before="0" w:after="283"/>
              <w:jc w:val="both"/>
              <w:rPr/>
            </w:pPr>
            <w:r>
              <w:rPr/>
              <w:t>Subject to the Act and as provided in these Articles, the Company may, by Special Resolution, amend these Articles in whole or in part.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888"/>
        <w:gridCol w:w="9188"/>
      </w:tblGrid>
      <w:tr>
        <w:trPr/>
        <w:tc>
          <w:tcPr>
            <w:tcW w:w="12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36</w:t>
            </w:r>
          </w:p>
        </w:tc>
        <w:tc>
          <w:tcPr>
            <w:tcW w:w="9188" w:type="dxa"/>
            <w:tcBorders/>
            <w:vAlign w:val="center"/>
          </w:tcPr>
          <w:p>
            <w:pPr>
              <w:pStyle w:val="TableContents"/>
              <w:bidi w:val="0"/>
              <w:spacing w:before="0" w:after="283"/>
              <w:jc w:val="both"/>
              <w:rPr/>
            </w:pPr>
            <w:r>
              <w:rPr/>
              <w:t>Mergers and Consolidations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constituent companies (as defined in the Law) upon such terms as the Directors may determine and (to the extent required by the Law) with the approval of a Special Resolution.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226"/>
        <w:gridCol w:w="8800"/>
      </w:tblGrid>
      <w:tr>
        <w:trPr/>
        <w:tc>
          <w:tcPr>
            <w:tcW w:w="17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37</w:t>
            </w:r>
          </w:p>
        </w:tc>
        <w:tc>
          <w:tcPr>
            <w:tcW w:w="8800" w:type="dxa"/>
            <w:tcBorders/>
            <w:vAlign w:val="center"/>
          </w:tcPr>
          <w:p>
            <w:pPr>
              <w:pStyle w:val="TableContents"/>
              <w:bidi w:val="0"/>
              <w:spacing w:before="0" w:after="283"/>
              <w:jc w:val="both"/>
              <w:rPr/>
            </w:pPr>
            <w:r>
              <w:rPr/>
              <w:t>Certain Tax Filings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of the Company or any other Officer. The Company further ratifies and approves any such filing made by any Tax Filing Authorised Person or such other person prior to the date of these Articles.</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052"/>
        <w:gridCol w:w="9000"/>
      </w:tblGrid>
      <w:tr>
        <w:trPr/>
        <w:tc>
          <w:tcPr>
            <w:tcW w:w="15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pPr>
            <w:r>
              <w:rPr/>
              <w:t>38</w:t>
            </w:r>
          </w:p>
        </w:tc>
        <w:tc>
          <w:tcPr>
            <w:tcW w:w="9000" w:type="dxa"/>
            <w:tcBorders/>
            <w:vAlign w:val="center"/>
          </w:tcPr>
          <w:p>
            <w:pPr>
              <w:pStyle w:val="TableContents"/>
              <w:bidi w:val="0"/>
              <w:spacing w:before="0" w:after="283"/>
              <w:jc w:val="both"/>
              <w:rPr/>
            </w:pPr>
            <w:r>
              <w:rPr/>
              <w:t>Business Opportunities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38.1</w:t>
            </w:r>
          </w:p>
        </w:tc>
        <w:tc>
          <w:tcPr>
            <w:tcW w:w="9728" w:type="dxa"/>
            <w:tcBorders/>
            <w:vAlign w:val="center"/>
          </w:tcPr>
          <w:p>
            <w:pPr>
              <w:pStyle w:val="TableContents"/>
              <w:bidi w:val="0"/>
              <w:spacing w:before="0" w:after="283"/>
              <w:jc w:val="both"/>
              <w:rPr/>
            </w:pPr>
            <w:r>
              <w:rPr/>
              <w:t>To the fullest extent permitted by Applicable Law, individuals serving as Directors or other Officers (</w:t>
            </w:r>
            <w:r>
              <w:rPr>
                <w:b/>
              </w:rPr>
              <w:t>Management</w:t>
            </w:r>
            <w:r>
              <w:rPr/>
              <w:t>)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such a member of Management, on the one hand, and the Company, on the other. Except to the extent expressly assumed by contract, to the fullest extent permitted by Applicable Law, such members of Management shall have no duty to communicate or offer any such corporate opportunity to the Company and shall not be liable to the Company or its Members for breach of any fiduciary duty as a Member, director and/or other Officer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member of Management solely in their capacity as such and the opportunity is one the Company is permitted to complete on a reasonable basis.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38.2</w:t>
            </w:r>
          </w:p>
        </w:tc>
        <w:tc>
          <w:tcPr>
            <w:tcW w:w="9728" w:type="dxa"/>
            <w:tcBorders/>
            <w:vAlign w:val="center"/>
          </w:tcPr>
          <w:p>
            <w:pPr>
              <w:pStyle w:val="TableContents"/>
              <w:bidi w:val="0"/>
              <w:spacing w:before="0" w:after="283"/>
              <w:jc w:val="both"/>
              <w:rPr/>
            </w:pPr>
            <w:r>
              <w:rPr/>
              <w:t>Except as provided elsewhere in these Articles, the Company hereby renounces any interest or expectancy of the Company in, or in being offered an opportunity to participate in, any potential transaction or matter which may be a corporate opportunity for both the Company and any individual serving as a member of Management, about which a director and/or other Officer of the Company who is also a member of Management acquires knowledge.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38.3</w:t>
            </w:r>
          </w:p>
        </w:tc>
        <w:tc>
          <w:tcPr>
            <w:tcW w:w="9728" w:type="dxa"/>
            <w:tcBorders/>
            <w:vAlign w:val="center"/>
          </w:tcPr>
          <w:p>
            <w:pPr>
              <w:pStyle w:val="TableContents"/>
              <w:bidi w:val="0"/>
              <w:spacing w:before="0" w:after="283"/>
              <w:jc w:val="both"/>
              <w:rPr/>
            </w:pPr>
            <w:r>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759"/>
        <w:gridCol w:w="9336"/>
      </w:tblGrid>
      <w:tr>
        <w:trPr/>
        <w:tc>
          <w:tcPr>
            <w:tcW w:w="1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pPr>
            <w:r>
              <w:rPr/>
              <w:t>39</w:t>
            </w:r>
          </w:p>
        </w:tc>
        <w:tc>
          <w:tcPr>
            <w:tcW w:w="9336" w:type="dxa"/>
            <w:tcBorders/>
            <w:vAlign w:val="center"/>
          </w:tcPr>
          <w:p>
            <w:pPr>
              <w:pStyle w:val="TableContents"/>
              <w:bidi w:val="0"/>
              <w:spacing w:before="0" w:after="283"/>
              <w:jc w:val="both"/>
              <w:rPr/>
            </w:pPr>
            <w:r>
              <w:rPr/>
              <w:t>Exclusive Jurisdiction and Forum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39.1</w:t>
            </w:r>
          </w:p>
        </w:tc>
        <w:tc>
          <w:tcPr>
            <w:tcW w:w="9728" w:type="dxa"/>
            <w:tcBorders/>
            <w:vAlign w:val="center"/>
          </w:tcPr>
          <w:p>
            <w:pPr>
              <w:pStyle w:val="TableContents"/>
              <w:bidi w:val="0"/>
              <w:spacing w:before="0" w:after="283"/>
              <w:jc w:val="both"/>
              <w:rPr/>
            </w:pPr>
            <w:r>
              <w:rPr/>
              <w:t>Unless the Company consents in writing to the selection of an alternative forum, the courts of the Cayman Islands shall have exclusive jurisdiction over any claim or dispute arising out of or in connection with the Memorandum, the Articles or otherwise related in any way to each Member’s shareholding in the Company, including but not limited to:</w:t>
            </w:r>
          </w:p>
        </w:tc>
      </w:tr>
    </w:tbl>
    <w:p>
      <w:pPr>
        <w:pStyle w:val="TextBody"/>
        <w:bidi w:val="0"/>
        <w:spacing w:before="0" w:after="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7"/>
        <w:gridCol w:w="9754"/>
      </w:tblGrid>
      <w:tr>
        <w:trPr/>
        <w:tc>
          <w:tcPr>
            <w:tcW w:w="5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(a)</w:t>
            </w:r>
          </w:p>
        </w:tc>
        <w:tc>
          <w:tcPr>
            <w:tcW w:w="9754" w:type="dxa"/>
            <w:tcBorders/>
            <w:vAlign w:val="center"/>
          </w:tcPr>
          <w:p>
            <w:pPr>
              <w:pStyle w:val="TableContents"/>
              <w:bidi w:val="0"/>
              <w:spacing w:before="0" w:after="283"/>
              <w:jc w:val="both"/>
              <w:rPr/>
            </w:pPr>
            <w:r>
              <w:rPr/>
              <w:t>any derivative action or proceeding brought on behalf of the Company;</w:t>
            </w:r>
          </w:p>
        </w:tc>
      </w:tr>
    </w:tbl>
    <w:p>
      <w:pPr>
        <w:pStyle w:val="TextBody"/>
        <w:bidi w:val="0"/>
        <w:spacing w:before="0" w:after="0"/>
        <w:ind w:left="1276" w:right="0" w:hanging="567"/>
        <w:jc w:val="both"/>
        <w:rPr>
          <w:caps w:val="false"/>
          <w:smallCaps w:val="false"/>
        </w:rPr>
      </w:pPr>
      <w:r>
        <w:rPr>
          <w:caps w:val="false"/>
          <w:smallCaps w:val="false"/>
        </w:rPr>
        <w:t> </w:t>
      </w:r>
    </w:p>
    <w:p>
      <w:pPr>
        <w:pStyle w:val="TextBody"/>
        <w:bidi w:val="0"/>
        <w:spacing w:before="0" w:after="0"/>
        <w:ind w:left="1276"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any action asserting a claim of breach of any fiduciary or other duty owed by any current or former director, Officer or other employee of the Company to the Company or the Members;</w:t>
            </w:r>
          </w:p>
        </w:tc>
      </w:tr>
    </w:tbl>
    <w:p>
      <w:pPr>
        <w:pStyle w:val="TextBody"/>
        <w:bidi w:val="0"/>
        <w:spacing w:before="0" w:after="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any action asserting a claim arising pursuant to any provision of the Act, the Memorandum or the Articles; or</w:t>
            </w:r>
          </w:p>
        </w:tc>
      </w:tr>
    </w:tbl>
    <w:p>
      <w:pPr>
        <w:pStyle w:val="TextBody"/>
        <w:bidi w:val="0"/>
        <w:spacing w:before="0" w:after="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10" w:type="dxa"/>
            <w:tcBorders/>
            <w:vAlign w:val="center"/>
          </w:tcPr>
          <w:p>
            <w:pPr>
              <w:pStyle w:val="TableContents"/>
              <w:bidi w:val="0"/>
              <w:spacing w:before="0" w:after="283"/>
              <w:jc w:val="both"/>
              <w:rPr/>
            </w:pPr>
            <w:r>
              <w:rPr/>
              <w:t>any action asserting a claim against the Company governed by the “Internal Affairs Doctrine” (as such concept is recognised under the laws of the United States of America).</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39.2</w:t>
            </w:r>
          </w:p>
        </w:tc>
        <w:tc>
          <w:tcPr>
            <w:tcW w:w="9728" w:type="dxa"/>
            <w:tcBorders/>
            <w:vAlign w:val="center"/>
          </w:tcPr>
          <w:p>
            <w:pPr>
              <w:pStyle w:val="TableContents"/>
              <w:bidi w:val="0"/>
              <w:spacing w:before="0" w:after="283"/>
              <w:jc w:val="both"/>
              <w:rPr/>
            </w:pPr>
            <w:r>
              <w:rPr/>
              <w:t>Each Member shall be deemed to have irrevocably submitted to the exclusive jurisdiction of the courts of the Cayman Islands, and each person or entity purchasing or otherwise acquiring Ordinary Shares or any other equity security of the Company shall be deemed to have notice of and consented to the provisions of this Article 36.</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39.3</w:t>
            </w:r>
          </w:p>
        </w:tc>
        <w:tc>
          <w:tcPr>
            <w:tcW w:w="9728" w:type="dxa"/>
            <w:tcBorders/>
            <w:vAlign w:val="center"/>
          </w:tcPr>
          <w:p>
            <w:pPr>
              <w:pStyle w:val="TableContents"/>
              <w:bidi w:val="0"/>
              <w:spacing w:before="0" w:after="283"/>
              <w:jc w:val="both"/>
              <w:rPr/>
            </w:pPr>
            <w:r>
              <w:rPr/>
              <w:t>Without prejudice to any other rights or remedies that the Company may have, each Member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39.4</w:t>
            </w:r>
          </w:p>
        </w:tc>
        <w:tc>
          <w:tcPr>
            <w:tcW w:w="9728" w:type="dxa"/>
            <w:tcBorders/>
            <w:vAlign w:val="center"/>
          </w:tcPr>
          <w:p>
            <w:pPr>
              <w:pStyle w:val="TableContents"/>
              <w:bidi w:val="0"/>
              <w:spacing w:before="0" w:after="283"/>
              <w:jc w:val="both"/>
              <w:rPr/>
            </w:pPr>
            <w:r>
              <w:rPr/>
              <w:t>This Article 39 shall not apply to any action or suits brought to enforce any liability or duty created by the U.S. Securities Act, the Securities Exchange Act of 1934, as amended, or any claim for which the federal district courts of the United States of America are, as a matter of the laws of the United States, the sole and exclusive forum for determination of such a claim.</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737"/>
        <w:gridCol w:w="9361"/>
      </w:tblGrid>
      <w:tr>
        <w:trPr/>
        <w:tc>
          <w:tcPr>
            <w:tcW w:w="10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pPr>
            <w:r>
              <w:rPr/>
              <w:t>40</w:t>
            </w:r>
          </w:p>
        </w:tc>
        <w:tc>
          <w:tcPr>
            <w:tcW w:w="9361" w:type="dxa"/>
            <w:tcBorders/>
            <w:vAlign w:val="center"/>
          </w:tcPr>
          <w:p>
            <w:pPr>
              <w:pStyle w:val="TableContents"/>
              <w:bidi w:val="0"/>
              <w:spacing w:before="0" w:after="283"/>
              <w:jc w:val="both"/>
              <w:rPr/>
            </w:pPr>
            <w:r>
              <w:rPr/>
              <w:t>Series A Majority reserved matters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the Inflection Point Entities hold at least 20% of the Series A Shares on issue as of the Date of Adoption, the Company shall not, without Series A Majority Consent, take any of the following actions: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754"/>
        <w:gridCol w:w="9387"/>
      </w:tblGrid>
      <w:tr>
        <w:trPr/>
        <w:tc>
          <w:tcPr>
            <w:tcW w:w="6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pPr>
            <w:r>
              <w:rPr/>
              <w:t>40.1</w:t>
            </w:r>
          </w:p>
        </w:tc>
        <w:tc>
          <w:tcPr>
            <w:tcW w:w="9387" w:type="dxa"/>
            <w:tcBorders/>
            <w:vAlign w:val="center"/>
          </w:tcPr>
          <w:p>
            <w:pPr>
              <w:pStyle w:val="TableContents"/>
              <w:bidi w:val="0"/>
              <w:spacing w:before="0" w:after="283"/>
              <w:jc w:val="both"/>
              <w:rPr/>
            </w:pPr>
            <w:r>
              <w:rPr/>
              <w:t>liquidate, dissolve or wind-up the affairs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40.2</w:t>
            </w:r>
          </w:p>
        </w:tc>
        <w:tc>
          <w:tcPr>
            <w:tcW w:w="9728" w:type="dxa"/>
            <w:tcBorders/>
            <w:vAlign w:val="center"/>
          </w:tcPr>
          <w:p>
            <w:pPr>
              <w:pStyle w:val="TableContents"/>
              <w:bidi w:val="0"/>
              <w:spacing w:before="0" w:after="283"/>
              <w:jc w:val="both"/>
              <w:rPr/>
            </w:pPr>
            <w:r>
              <w:rPr/>
              <w:t>amending, altering or repealing the Memorandum or Articles in a manner that materially and adversely affects the powers, preferences or rights attaching to the Series A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40.3</w:t>
            </w:r>
          </w:p>
        </w:tc>
        <w:tc>
          <w:tcPr>
            <w:tcW w:w="9728" w:type="dxa"/>
            <w:tcBorders/>
            <w:vAlign w:val="center"/>
          </w:tcPr>
          <w:p>
            <w:pPr>
              <w:pStyle w:val="TableContents"/>
              <w:bidi w:val="0"/>
              <w:spacing w:before="0" w:after="283"/>
              <w:jc w:val="both"/>
              <w:rPr/>
            </w:pPr>
            <w:r>
              <w:rPr/>
              <w:t>create any equity security, authorise the creation of any equity security, classify any equity security, reclassify any equity security, or issue any other security convertible into or exercisable for any equity security, unless such security ranks junior to the Series A Shares with respect to its rights, preferences and privileges (including rights to receive dividends and participate in distributions or payments upon liquidation, dissolution or winding up);</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735"/>
        <w:gridCol w:w="9407"/>
      </w:tblGrid>
      <w:tr>
        <w:trPr/>
        <w:tc>
          <w:tcPr>
            <w:tcW w:w="6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pPr>
            <w:r>
              <w:rPr/>
              <w:t>40.4</w:t>
            </w:r>
          </w:p>
        </w:tc>
        <w:tc>
          <w:tcPr>
            <w:tcW w:w="9407" w:type="dxa"/>
            <w:tcBorders/>
            <w:vAlign w:val="center"/>
          </w:tcPr>
          <w:p>
            <w:pPr>
              <w:pStyle w:val="TableContents"/>
              <w:bidi w:val="0"/>
              <w:spacing w:before="0" w:after="283"/>
              <w:jc w:val="both"/>
              <w:rPr/>
            </w:pPr>
            <w:r>
              <w:rPr/>
              <w:t>increase the authorised share capital of the Series A Shares;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40.5</w:t>
            </w:r>
          </w:p>
        </w:tc>
        <w:tc>
          <w:tcPr>
            <w:tcW w:w="9728" w:type="dxa"/>
            <w:tcBorders/>
            <w:vAlign w:val="center"/>
          </w:tcPr>
          <w:p>
            <w:pPr>
              <w:pStyle w:val="TableContents"/>
              <w:bidi w:val="0"/>
              <w:spacing w:before="0" w:after="283"/>
              <w:jc w:val="both"/>
              <w:rPr/>
            </w:pPr>
            <w:r>
              <w:rPr/>
              <w:t>purchase or redeem or pay any cash dividend on any Share ranking junior to the Series A Shares (with respect to rights to receive dividends and participate in distributions or payments upon liquidation, dissolution or winding up), except for Shares being repurchased by the Company at cost from Employees in connection with the cessation of their service or pursuant to the terms of any equity incentive plan adopted by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40.6</w:t>
            </w:r>
          </w:p>
        </w:tc>
        <w:tc>
          <w:tcPr>
            <w:tcW w:w="9728" w:type="dxa"/>
            <w:tcBorders/>
            <w:vAlign w:val="center"/>
          </w:tcPr>
          <w:p>
            <w:pPr>
              <w:pStyle w:val="TableContents"/>
              <w:bidi w:val="0"/>
              <w:spacing w:before="0" w:after="283"/>
              <w:jc w:val="both"/>
              <w:rPr/>
            </w:pPr>
            <w:r>
              <w:rPr/>
              <w:t>enter into any transaction with an Affiliate, other than the issuance of equity or awards to eligible participants under an incentive plan, equity plan or equity-based compensation plan adopted by the Company, or with respect to employment, consulting or award agreements with respect to executive officers or directors of the Company, in each case regardless of whether such person (or such person’s Affiliates) would be considered an Affiliate of the Company; or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40.7</w:t>
            </w:r>
          </w:p>
        </w:tc>
        <w:tc>
          <w:tcPr>
            <w:tcW w:w="9728" w:type="dxa"/>
            <w:tcBorders/>
            <w:vAlign w:val="center"/>
          </w:tcPr>
          <w:p>
            <w:pPr>
              <w:pStyle w:val="TableContents"/>
              <w:bidi w:val="0"/>
              <w:spacing w:before="0" w:after="283"/>
              <w:jc w:val="both"/>
              <w:rPr/>
            </w:pPr>
            <w:r>
              <w:rPr/>
              <w:t>incur or guarantee any new indebtedness other than equipment leases or trade payables incurred in the ordinary course of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br/>
        <w:t>(TO BE EXECUTED BY THE REGISTERED HOLDER IN ORDER TO CONVERT SERIES A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the number of Series A Preferred Shares, indicated below into Ordinary Shares, of Air Water Holdings Limited, a Cayman Islands exempted company limited by shares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according to the conditions hereof, as of the date written below. If Ordinary Shares are to be issued in the name of a person other than the undersigned, the undersigned will pay all transfer taxes payable with respect thereto and is delivering herewith such certificates and opinions as may be required by the Company in accordance with the Purchase Agreement. No fee will be charged to the Series A Shareholders for any conversion, except for any such transfer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calculations: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to Effect Conversion: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Series A Preferred Shares owned prior to Conversion: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Series A Preferred Shares to be Converted: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Value of Series A Preferred Shares to be Converted: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Ordinary Shares to be Issued: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Conversion Price: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Series A Preferred Shares subsequent to Conversion: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DWAC Instructions: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no: _________________________________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279801ex4-6.htm"/>
      <w:bookmarkStart w:id="26" w:name="ksea030279801ex46"/>
      <w:bookmarkEnd w:id="25"/>
      <w:bookmarkEnd w:id="26"/>
      <w:r>
        <w:rPr>
          <w:rFonts w:ascii="Times New Roman;Times;Serif" w:hAnsi="Times New Roman;Times;Serif"/>
          <w:b/>
          <w:i w:val="false"/>
          <w:caps w:val="false"/>
          <w:smallCaps w:val="false"/>
          <w:sz w:val="20"/>
        </w:rPr>
        <w:t>Exhibit 4.6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August 14, 2026 between (i) Air Water Ventures Limited, a Cayman Islands exempted company (“</w:t>
      </w:r>
      <w:r>
        <w:rPr>
          <w:rFonts w:ascii="Times New Roman;Times;Serif" w:hAnsi="Times New Roman;Times;Serif"/>
          <w:b/>
          <w:i/>
          <w:caps w:val="false"/>
          <w:smallCaps w:val="false"/>
          <w:sz w:val="20"/>
        </w:rPr>
        <w:t>PubCo</w:t>
      </w:r>
      <w:r>
        <w:rPr>
          <w:rFonts w:ascii="Times New Roman;Times;Serif" w:hAnsi="Times New Roman;Times;Serif"/>
          <w:b w:val="false"/>
          <w:i w:val="false"/>
          <w:caps w:val="false"/>
          <w:smallCaps w:val="false"/>
          <w:sz w:val="20"/>
        </w:rPr>
        <w:t>”) and (ii) Inflection Point Holdings III LLC, a Delaware limited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PubCo and the Sponsor are sometimes referred to herein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Any capitalized term used but not defined in this Agreement will have the meaning ascribed to such term in the Business Combination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Inflection Point Acquisition Corp. III, a Cayman Islands exempted company (“</w:t>
      </w:r>
      <w:r>
        <w:rPr>
          <w:rFonts w:ascii="Times New Roman;Times;Serif" w:hAnsi="Times New Roman;Times;Serif"/>
          <w:b/>
          <w:i/>
          <w:caps w:val="false"/>
          <w:smallCaps w:val="false"/>
          <w:sz w:val="20"/>
        </w:rPr>
        <w:t>SPAC</w:t>
      </w:r>
      <w:r>
        <w:rPr>
          <w:rFonts w:ascii="Times New Roman;Times;Serif" w:hAnsi="Times New Roman;Times;Serif"/>
          <w:b w:val="false"/>
          <w:i w:val="false"/>
          <w:caps w:val="false"/>
          <w:smallCaps w:val="false"/>
          <w:sz w:val="20"/>
        </w:rPr>
        <w:t>”), Air Water Venture Holdings Limited, a Cayman Islands exempted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PubCo, among others, entered into a business combination agreement, dated August 25, 2025 (as amended,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pursuant to which the parties thereto shall consummate a series of transactions, including the exchange of all of the SPAC Shares held by the Sponsor into a corresponding number of PubCo Ordinary Shares determined in accordance with the Business Combination Agreement and in accordance with the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SPAC and Sponsor are parties to that certain Placement Unit Purchase Agreement, dated as of April 24, 2025, pursuant to which the Sponsor purchased, among other things, an aggregate of 500,000 units, each unit consisting of one SPAC Class A Ordinary Share and one SPAC Right to receive one-tenth of one SPAC Class A Ordinary Share upon the closing of SPAC’s initial business combination (such shares and rights collectively, the “</w:t>
      </w:r>
      <w:r>
        <w:rPr>
          <w:rFonts w:ascii="Times New Roman;Times;Serif" w:hAnsi="Times New Roman;Times;Serif"/>
          <w:b/>
          <w:i/>
          <w:caps w:val="false"/>
          <w:smallCaps w:val="false"/>
          <w:sz w:val="20"/>
        </w:rPr>
        <w:t>Private Placement Securities</w:t>
      </w:r>
      <w:r>
        <w:rPr>
          <w:rFonts w:ascii="Times New Roman;Times;Serif" w:hAnsi="Times New Roman;Times;Serif"/>
          <w:b w:val="false"/>
          <w:i w:val="false"/>
          <w:caps w:val="false"/>
          <w:smallCaps w:val="false"/>
          <w:sz w:val="20"/>
        </w:rPr>
        <w:t>”) in a private placement transaction that occurred simultaneously with the closing of SPAC’s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Business Combination Agreement, and in view of the valuable consideration to be received by the Sponsor thereunder, the Parties desire to enter into this Agreement, pursuant to which certain PubCo Ordinary Shares to be received by the Sponsor pursuant to the Business Combination Agreement and in accordance with the provisions of applicable Law shall become subject to limitations on disposition as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immediately after the First Merger Effective Time, the Sponsor will be the holder of record and beneficial owner (as such term is defined in Rule 13d-3 promulgated under the Exchange Act), with the sole power to dispose of (or sole power to cause the disposition of) and the sole power to vote (or sole power to direct the voting of) the Restricted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set forth above, which are incorporated into this Agreement as if fully set forth below, and intending to be legally bound hereby,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Lock-Up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1(b) and the other terms of this Agreement, the Sponsor agrees that it shall not effectuate a Transfer of (i) the General Restricted Securities during the period commencing on the Closing Date and ending on the date that is the earliest of (a) six (6) months after the Closing and (b) the date following the Closing on which PubCo completes a liquidation, merger, capital stock exchange, reorganization or other similar transaction that results in all of its stockholders having the right to exchange their shares of common stock for cash, securities or other property (the “</w:t>
      </w:r>
      <w:r>
        <w:rPr>
          <w:rFonts w:ascii="Times New Roman;Times;Serif" w:hAnsi="Times New Roman;Times;Serif"/>
          <w:b/>
          <w:i/>
          <w:caps w:val="false"/>
          <w:smallCaps w:val="false"/>
          <w:sz w:val="20"/>
        </w:rPr>
        <w:t>General Lock-Up Period</w:t>
      </w:r>
      <w:r>
        <w:rPr>
          <w:rFonts w:ascii="Times New Roman;Times;Serif" w:hAnsi="Times New Roman;Times;Serif"/>
          <w:b w:val="false"/>
          <w:i w:val="false"/>
          <w:caps w:val="false"/>
          <w:smallCaps w:val="false"/>
          <w:sz w:val="20"/>
        </w:rPr>
        <w:t>”) and (ii) the Private Placement Restricted Securities during the period commencing on the Closing Date and ending on the date that is the earliest of (x) thirty (30) days after the Closing and (y) the date following the Closing on which PubCo completes a liquidation, merger, capital stock exchange, reorganization or other similar transaction that results in all of its stockholders having the right to exchange their shares of common stock for cash, securities or other property (the “</w:t>
      </w:r>
      <w:r>
        <w:rPr>
          <w:rFonts w:ascii="Times New Roman;Times;Serif" w:hAnsi="Times New Roman;Times;Serif"/>
          <w:b/>
          <w:i/>
          <w:caps w:val="false"/>
          <w:smallCaps w:val="false"/>
          <w:sz w:val="20"/>
        </w:rPr>
        <w:t>Private Placement Lock-Up Period</w:t>
      </w:r>
      <w:r>
        <w:rPr>
          <w:rFonts w:ascii="Times New Roman;Times;Serif" w:hAnsi="Times New Roman;Times;Serif"/>
          <w:b w:val="false"/>
          <w:i w:val="false"/>
          <w:caps w:val="false"/>
          <w:smallCaps w:val="false"/>
          <w:sz w:val="20"/>
        </w:rPr>
        <w:t>,” and together with the General Lock-Up Period, as applicable,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For purposes hereof, (A) the “</w:t>
      </w:r>
      <w:r>
        <w:rPr>
          <w:rFonts w:ascii="Times New Roman;Times;Serif" w:hAnsi="Times New Roman;Times;Serif"/>
          <w:b/>
          <w:i/>
          <w:caps w:val="false"/>
          <w:smallCaps w:val="false"/>
          <w:sz w:val="20"/>
        </w:rPr>
        <w:t>General Restricted Securities</w:t>
      </w:r>
      <w:r>
        <w:rPr>
          <w:rFonts w:ascii="Times New Roman;Times;Serif" w:hAnsi="Times New Roman;Times;Serif"/>
          <w:b w:val="false"/>
          <w:i w:val="false"/>
          <w:caps w:val="false"/>
          <w:smallCaps w:val="false"/>
          <w:sz w:val="20"/>
        </w:rPr>
        <w:t>” shall mean the PubCo Ordinary Shares issued to the Sponsor in exchange for the SPAC Class A Ordinary Shares received by the Sponsor upon conversion of the SPAC Class B Ordinary Shares, pursuant to the Business Combination Agreement (together with any dividends or distributions with respect to such securities or into which such securities are changed or exchanged or which are received in any recapitalization, share exchange, share conversion or similar transactions), (B) the “</w:t>
      </w:r>
      <w:r>
        <w:rPr>
          <w:rFonts w:ascii="Times New Roman;Times;Serif" w:hAnsi="Times New Roman;Times;Serif"/>
          <w:b/>
          <w:i/>
          <w:caps w:val="false"/>
          <w:smallCaps w:val="false"/>
          <w:sz w:val="20"/>
        </w:rPr>
        <w:t>Private Placement Restricted Securities</w:t>
      </w:r>
      <w:r>
        <w:rPr>
          <w:rFonts w:ascii="Times New Roman;Times;Serif" w:hAnsi="Times New Roman;Times;Serif"/>
          <w:b w:val="false"/>
          <w:i w:val="false"/>
          <w:caps w:val="false"/>
          <w:smallCaps w:val="false"/>
          <w:sz w:val="20"/>
        </w:rPr>
        <w:t>” shall mean the PubCo Ordinary Shares issued to the Sponsor pursuant to the Business Combination Agreement in exchange for the Private Placement Securities following the Unit Separation (together with any dividends or distributions with respect to such securities or into which such securities are changed or exchanged or which are received in any recapitalization, share exchange, share conversion or similar transactions) and (C) the “</w:t>
      </w:r>
      <w:r>
        <w:rPr>
          <w:rFonts w:ascii="Times New Roman;Times;Serif" w:hAnsi="Times New Roman;Times;Serif"/>
          <w:b/>
          <w:i/>
          <w:caps w:val="false"/>
          <w:smallCaps w:val="false"/>
          <w:sz w:val="20"/>
        </w:rPr>
        <w:t>Restricted Securities</w:t>
      </w:r>
      <w:r>
        <w:rPr>
          <w:rFonts w:ascii="Times New Roman;Times;Serif" w:hAnsi="Times New Roman;Times;Serif"/>
          <w:b w:val="false"/>
          <w:i w:val="false"/>
          <w:caps w:val="false"/>
          <w:smallCaps w:val="false"/>
          <w:sz w:val="20"/>
        </w:rPr>
        <w:t>” shall mean the General Restricted Securities and the Private Placement Restricted Securities, together.</w:t>
      </w:r>
    </w:p>
    <w:p>
      <w:pPr>
        <w:pStyle w:val="TextBody"/>
        <w:bidi w:val="0"/>
        <w:spacing w:before="0" w:after="0"/>
        <w:ind w:left="0" w:right="0" w:firstLine="144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provisions set forth in Section 1(a), the following Transfers of the Restricted Securities that are held by the Sponsor (and that have complied with this Section 1(b)) are permitted during the applicable Lock-Up Period in the case of the Sponsor or its permitted transferees:</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to PubCo’s officers or directors, any Affiliates or immediate family members of any of PubCo’s officers or directors, any members or partners of the Sponsor or their Affiliates, any Affiliates of the Sponsor, or any employees of such Affiliates;</w:t>
            </w:r>
          </w:p>
        </w:tc>
      </w:tr>
    </w:tbl>
    <w:p>
      <w:pPr>
        <w:pStyle w:val="TextBody"/>
        <w:bidi w:val="0"/>
        <w:spacing w:before="0" w:after="0"/>
        <w:ind w:left="2160" w:right="0" w:hanging="72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29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700" w:type="dxa"/>
            <w:tcBorders/>
            <w:vAlign w:val="center"/>
          </w:tcPr>
          <w:p>
            <w:pPr>
              <w:pStyle w:val="TableContents"/>
              <w:bidi w:val="0"/>
              <w:spacing w:before="0" w:after="283"/>
              <w:jc w:val="both"/>
              <w:rPr/>
            </w:pPr>
            <w:r>
              <w:rPr/>
              <w:t>in the case of an individual, to any immediate family members of such individual;</w:t>
            </w:r>
          </w:p>
        </w:tc>
      </w:tr>
    </w:tbl>
    <w:p>
      <w:pPr>
        <w:pStyle w:val="TextBody"/>
        <w:bidi w:val="0"/>
        <w:spacing w:before="0" w:after="0"/>
        <w:ind w:left="216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35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755" w:type="dxa"/>
            <w:tcBorders/>
            <w:vAlign w:val="center"/>
          </w:tcPr>
          <w:p>
            <w:pPr>
              <w:pStyle w:val="TableContents"/>
              <w:bidi w:val="0"/>
              <w:spacing w:before="0" w:after="283"/>
              <w:jc w:val="both"/>
              <w:rPr/>
            </w:pPr>
            <w:r>
              <w:rPr/>
              <w:t>to any investment funds or vehicles controlled or managed by the securityholder or any of its Affiliates;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(iv)</w:t>
            </w:r>
          </w:p>
        </w:tc>
        <w:tc>
          <w:tcPr>
            <w:tcW w:w="9841" w:type="dxa"/>
            <w:tcBorders/>
            <w:vAlign w:val="center"/>
          </w:tcPr>
          <w:p>
            <w:pPr>
              <w:pStyle w:val="TableContents"/>
              <w:bidi w:val="0"/>
              <w:spacing w:before="0" w:after="283"/>
              <w:jc w:val="both"/>
              <w:rPr/>
            </w:pPr>
            <w:r>
              <w:rPr/>
              <w:t>by gift to a trust, the beneficiary of which is a Person to whom a Transfer would be permitted under Section 1(b)(i), or to a charitable organization;</w:t>
            </w:r>
          </w:p>
        </w:tc>
      </w:tr>
    </w:tbl>
    <w:p>
      <w:pPr>
        <w:pStyle w:val="TextBody"/>
        <w:bidi w:val="0"/>
        <w:spacing w:before="0" w:after="0"/>
        <w:ind w:left="2160" w:right="0" w:hanging="720"/>
        <w:jc w:val="both"/>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29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9755" w:type="dxa"/>
            <w:tcBorders/>
            <w:vAlign w:val="center"/>
          </w:tcPr>
          <w:p>
            <w:pPr>
              <w:pStyle w:val="TableContents"/>
              <w:bidi w:val="0"/>
              <w:spacing w:before="0" w:after="283"/>
              <w:jc w:val="both"/>
              <w:rPr/>
            </w:pPr>
            <w:r>
              <w:rPr/>
              <w:t>in the case of an individual, by virtue of laws of descent and distribution upon death of such individual;</w:t>
            </w:r>
          </w:p>
        </w:tc>
      </w:tr>
    </w:tbl>
    <w:p>
      <w:pPr>
        <w:pStyle w:val="TextBody"/>
        <w:bidi w:val="0"/>
        <w:spacing w:before="0" w:after="0"/>
        <w:ind w:left="2160" w:right="0" w:hanging="72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35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7160" w:type="dxa"/>
            <w:tcBorders/>
            <w:vAlign w:val="center"/>
          </w:tcPr>
          <w:p>
            <w:pPr>
              <w:pStyle w:val="TableContents"/>
              <w:bidi w:val="0"/>
              <w:spacing w:before="0" w:after="283"/>
              <w:jc w:val="both"/>
              <w:rPr/>
            </w:pPr>
            <w:r>
              <w:rPr/>
              <w:t>in the case of an individual, pursuant to a qualified domestic relations order;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(vii)</w:t>
            </w:r>
          </w:p>
        </w:tc>
        <w:tc>
          <w:tcPr>
            <w:tcW w:w="9804" w:type="dxa"/>
            <w:tcBorders/>
            <w:vAlign w:val="center"/>
          </w:tcPr>
          <w:p>
            <w:pPr>
              <w:pStyle w:val="TableContents"/>
              <w:bidi w:val="0"/>
              <w:spacing w:before="0" w:after="283"/>
              <w:jc w:val="both"/>
              <w:rPr/>
            </w:pPr>
            <w:r>
              <w:rPr/>
              <w:t>in the case of an individual, to a partnership, limited liability company or other entity of which such individual and/or the family members of such individual are the legal and beneficial owner of all of the outstanding equity securities or similar interests;</w:t>
            </w:r>
          </w:p>
        </w:tc>
      </w:tr>
    </w:tbl>
    <w:p>
      <w:pPr>
        <w:pStyle w:val="TextBody"/>
        <w:bidi w:val="0"/>
        <w:spacing w:before="0" w:after="0"/>
        <w:ind w:left="2160" w:right="0" w:hanging="72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4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(viii)</w:t>
            </w:r>
          </w:p>
        </w:tc>
        <w:tc>
          <w:tcPr>
            <w:tcW w:w="9485" w:type="dxa"/>
            <w:tcBorders/>
            <w:vAlign w:val="center"/>
          </w:tcPr>
          <w:p>
            <w:pPr>
              <w:pStyle w:val="TableContents"/>
              <w:bidi w:val="0"/>
              <w:spacing w:before="0" w:after="283"/>
              <w:jc w:val="both"/>
              <w:rPr/>
            </w:pPr>
            <w:r>
              <w:rPr/>
              <w:t>to a nominee or custodian of a Person to whom a Transfer would be permitted under Section 1(b)(i);</w:t>
            </w:r>
          </w:p>
        </w:tc>
      </w:tr>
    </w:tbl>
    <w:p>
      <w:pPr>
        <w:pStyle w:val="TextBody"/>
        <w:bidi w:val="0"/>
        <w:spacing w:before="0" w:after="0"/>
        <w:ind w:left="2160" w:right="0" w:hanging="72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35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(ix)</w:t>
            </w:r>
          </w:p>
        </w:tc>
        <w:tc>
          <w:tcPr>
            <w:tcW w:w="4490" w:type="dxa"/>
            <w:tcBorders/>
            <w:vAlign w:val="center"/>
          </w:tcPr>
          <w:p>
            <w:pPr>
              <w:pStyle w:val="TableContents"/>
              <w:bidi w:val="0"/>
              <w:spacing w:before="0" w:after="283"/>
              <w:jc w:val="both"/>
              <w:rPr/>
            </w:pPr>
            <w:r>
              <w:rPr/>
              <w:t>pursuant to any legal, regulatory or other order;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(x)</w:t>
            </w:r>
          </w:p>
        </w:tc>
        <w:tc>
          <w:tcPr>
            <w:tcW w:w="9887" w:type="dxa"/>
            <w:tcBorders/>
            <w:vAlign w:val="center"/>
          </w:tcPr>
          <w:p>
            <w:pPr>
              <w:pStyle w:val="TableContents"/>
              <w:bidi w:val="0"/>
              <w:spacing w:before="0" w:after="283"/>
              <w:jc w:val="both"/>
              <w:rPr/>
            </w:pPr>
            <w:r>
              <w:rPr/>
              <w:t>in the case of an entity that is a trust, to a trustor or beneficiary of the trust or to the estate of a beneficiary of such trust;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(xi)</w:t>
            </w:r>
          </w:p>
        </w:tc>
        <w:tc>
          <w:tcPr>
            <w:tcW w:w="9824" w:type="dxa"/>
            <w:tcBorders/>
            <w:vAlign w:val="center"/>
          </w:tcPr>
          <w:p>
            <w:pPr>
              <w:pStyle w:val="TableContents"/>
              <w:bidi w:val="0"/>
              <w:spacing w:before="0" w:after="283"/>
              <w:jc w:val="both"/>
              <w:rPr/>
            </w:pPr>
            <w:r>
              <w:rPr/>
              <w:t>in the case of an entity, as part of a distribution to members, partners, shareholders or equityholders of the entity;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(xii)</w:t>
            </w:r>
          </w:p>
        </w:tc>
        <w:tc>
          <w:tcPr>
            <w:tcW w:w="9797" w:type="dxa"/>
            <w:tcBorders/>
            <w:vAlign w:val="center"/>
          </w:tcPr>
          <w:p>
            <w:pPr>
              <w:pStyle w:val="TableContents"/>
              <w:bidi w:val="0"/>
              <w:spacing w:before="0" w:after="283"/>
              <w:jc w:val="both"/>
              <w:rPr/>
            </w:pPr>
            <w:r>
              <w:rPr/>
              <w:t>by virtue of the laws of an entity’s jurisdiction of incorporation or organization, an entity’s organizational documents or the rights attaching to the equity interests in the entity upon dissolution of such entity;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(xiii)</w:t>
            </w:r>
          </w:p>
        </w:tc>
        <w:tc>
          <w:tcPr>
            <w:tcW w:w="9757" w:type="dxa"/>
            <w:tcBorders/>
            <w:vAlign w:val="center"/>
          </w:tcPr>
          <w:p>
            <w:pPr>
              <w:pStyle w:val="TableContents"/>
              <w:bidi w:val="0"/>
              <w:spacing w:before="0" w:after="283"/>
              <w:jc w:val="both"/>
              <w:rPr/>
            </w:pPr>
            <w:r>
              <w:rPr/>
              <w:t>in connection with the exercise of any options, warrants or other convertible securities to purchase PubCo Ordinary Shares (which exercises may be effected on a cashless basis to the extent the instruments representing such options or warrants permit exercises on a cashless basis) to the extent that any PubCo Ordinary Shares issued upon such exercise are Restricted Securities subject to the applicable restrictions under Section 1(a) of this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4"/>
        <w:gridCol w:w="9703"/>
      </w:tblGrid>
      <w:tr>
        <w:trPr/>
        <w:tc>
          <w:tcPr>
            <w:tcW w:w="3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(xiv)</w:t>
            </w:r>
          </w:p>
        </w:tc>
        <w:tc>
          <w:tcPr>
            <w:tcW w:w="9703" w:type="dxa"/>
            <w:tcBorders/>
            <w:vAlign w:val="center"/>
          </w:tcPr>
          <w:p>
            <w:pPr>
              <w:pStyle w:val="TableContents"/>
              <w:bidi w:val="0"/>
              <w:spacing w:before="0" w:after="283"/>
              <w:jc w:val="both"/>
              <w:rPr/>
            </w:pPr>
            <w:r>
              <w:rPr/>
              <w:t>to satisfy tax withholding obligations in connection with the Sponsor’s equity incentive plans or arrangements;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(xv)</w:t>
            </w:r>
          </w:p>
        </w:tc>
        <w:tc>
          <w:tcPr>
            <w:tcW w:w="9801" w:type="dxa"/>
            <w:tcBorders/>
            <w:vAlign w:val="center"/>
          </w:tcPr>
          <w:p>
            <w:pPr>
              <w:pStyle w:val="TableContents"/>
              <w:bidi w:val="0"/>
              <w:spacing w:before="0" w:after="283"/>
              <w:jc w:val="both"/>
              <w:rPr/>
            </w:pPr>
            <w:r>
              <w:rPr/>
              <w:t xml:space="preserve">in connection with any </w:t>
            </w:r>
            <w:r>
              <w:rPr>
                <w:i/>
              </w:rPr>
              <w:t xml:space="preserve">bona fide </w:t>
            </w:r>
            <w:r>
              <w:rPr/>
              <w:t xml:space="preserve">mortgage, pledge or encumbrance to a financial institution, as collateral or security in connection with any </w:t>
            </w:r>
            <w:r>
              <w:rPr>
                <w:i/>
              </w:rPr>
              <w:t xml:space="preserve">bona fide </w:t>
            </w:r>
            <w:r>
              <w:rPr/>
              <w:t>loan or debt transaction or enforcement thereunder, including foreclosure thereof;</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(xvi)</w:t>
            </w:r>
          </w:p>
        </w:tc>
        <w:tc>
          <w:tcPr>
            <w:tcW w:w="9757" w:type="dxa"/>
            <w:tcBorders/>
            <w:vAlign w:val="center"/>
          </w:tcPr>
          <w:p>
            <w:pPr>
              <w:pStyle w:val="TableContents"/>
              <w:bidi w:val="0"/>
              <w:spacing w:before="0" w:after="283"/>
              <w:jc w:val="both"/>
              <w:rPr/>
            </w:pPr>
            <w:r>
              <w:rPr/>
              <w:t xml:space="preserve">in connection with a transfer pursuant to a </w:t>
            </w:r>
            <w:r>
              <w:rPr>
                <w:i/>
              </w:rPr>
              <w:t xml:space="preserve">bona fide </w:t>
            </w:r>
            <w:r>
              <w:rPr/>
              <w:t>third party tender offer, merger, consolidation, liquidation, share exchange or other similar transaction made to all holders of PubCo Ordinary Shares involving a change of control of PubCo or which results in all of the holders of PubCo Ordinary Shares having the right to exchange their PubCo Ordinary Shares for cash, securities or other property subsequent to the consummation of such transaction;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8"/>
        <w:gridCol w:w="9699"/>
      </w:tblGrid>
      <w:tr>
        <w:trPr/>
        <w:tc>
          <w:tcPr>
            <w:tcW w:w="3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(xvii)</w:t>
            </w:r>
          </w:p>
        </w:tc>
        <w:tc>
          <w:tcPr>
            <w:tcW w:w="9699" w:type="dxa"/>
            <w:tcBorders/>
            <w:vAlign w:val="center"/>
          </w:tcPr>
          <w:p>
            <w:pPr>
              <w:pStyle w:val="TableContents"/>
              <w:bidi w:val="0"/>
              <w:spacing w:before="0" w:after="283"/>
              <w:jc w:val="both"/>
              <w:rPr/>
            </w:pPr>
            <w:r>
              <w:rPr/>
              <w:t>the entry, by the securityholder, at any time on or after the Closing Date, of any trading plan providing for the sale of Restricted Securities, which trading plan meets the requirements of Rule 10b5-1(c) under the Exchange Act; provided, however, that such plan does not provide for, or permit, the sale of any Restricted Securities during the applicable Lock-Up Period and no public announcement or filing is voluntarily made or required regarding such plan during the applicable Lock-Up Period;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3"/>
        <w:gridCol w:w="9644"/>
      </w:tblGrid>
      <w:tr>
        <w:trPr/>
        <w:tc>
          <w:tcPr>
            <w:tcW w:w="3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(xviii)</w:t>
            </w:r>
          </w:p>
        </w:tc>
        <w:tc>
          <w:tcPr>
            <w:tcW w:w="9644" w:type="dxa"/>
            <w:tcBorders/>
            <w:vAlign w:val="center"/>
          </w:tcPr>
          <w:p>
            <w:pPr>
              <w:pStyle w:val="TableContents"/>
              <w:bidi w:val="0"/>
              <w:spacing w:before="0" w:after="283"/>
              <w:jc w:val="both"/>
              <w:rPr/>
            </w:pPr>
            <w:r>
              <w:rPr/>
              <w:t>to satisfy any U.S. federal, state, or local income tax obligations of a Securityholder (or its direct or indirect owners) arising from a change in the U.S. Internal Revenue Code of 1986, as amended (the “</w:t>
            </w:r>
            <w:r>
              <w:rPr>
                <w:b/>
                <w:i/>
              </w:rPr>
              <w:t>Code</w:t>
            </w:r>
            <w:r>
              <w:rPr/>
              <w:t>”), or the U.S. Treasury Regulations promulgated thereunder (the “</w:t>
            </w:r>
            <w:r>
              <w:rPr>
                <w:b/>
                <w:i/>
              </w:rPr>
              <w:t>Regulations</w:t>
            </w:r>
            <w:r>
              <w:rPr/>
              <w:t>”) after the date on which the Business Combination Agreement was executed by the parties, and such change prevents the Business Combination from qualifying as a “reorganization” pursuant to Section 368 of the Code (and the Business Combination does not qualify for similar tax-free treatment pursuant to any successor or other provision of the Code or Regulations taking into account such changes), in each case solely and to the extent necessary to cover any tax liability as a direct result of the transaction.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each of clauses (i) through (xii) and (xv), the transferee must enter into a written agreement in substantially the same form of this Agreement, agreeing to be bound by the terms of the applicable restrictions under Section 1(a) of this Agreement (unless the transferee is PubCo). If dividends are declared and payable on the Sponsor’s Restricted Securities, such dividends will also be Restricted Securities subject to the applicable restrictions under Section 1(a)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Transfer is made or attempted contrary to the provisions of this Agreement, such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PubCo shall refuse to recognize any such transferee of the Restricted Securities as one of its equity holders for any purpose. In order to enforce this Section 1, PubCo may impose stop-transfer instructions with respect to the Restricted Securities of the Sponsor (and any permitted transferees and assigns thereof) until the end of the applicable Lock-Up Period.</w:t>
      </w:r>
    </w:p>
    <w:p>
      <w:pPr>
        <w:pStyle w:val="TextBody"/>
        <w:bidi w:val="0"/>
        <w:spacing w:before="0" w:after="0"/>
        <w:ind w:left="0" w:right="0" w:firstLine="144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applicable Lock-Up Period, each certificate and book entry position evidencing any Restricted Securities (if any are issued) shall be stamped or otherwise imprinted with a legend in substantially the following form, in addition to any other applicable legends: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ARE SUBJECT TO RESTRICTIONS ON TRANSFER SET FORTH IN A LOCK-UP AGREEMENT, DATED AS OF AUGUST [●], 2026, BY AND AMONG THE ISSUER OF SUCH SECURITIES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THE ISSUER’S SECURITY HOLDER NAMED THEREIN. A COPY OF SUCH LOCK-UP AGREEMENT WILL BE FURNISHED WITHOUT CHARGE BY THE ISSUER TO THE HOLDER HEREOF UPON WRITTEN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any doubt, the Sponsor shall retain all of its rights as a shareholder of PubCo with respect to the Restricted Securities during the applicable Lock-Up Period, including the right to receive dividends and the right to vote any Restricted Securities (subject to the other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purposes of this Section 1,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shall mean the (a) sale of, offer to sell, contract or agreement to sell (including, for the avoidance of doubt, through a distribution in specie),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U.S. Securities and Exchange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Effective as of the Closing Date, the lock-up provisions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supersede the lock-up provisions applicable to the Restricted Securities in Section 7 of that certain letter agreement, dated as of April 24, 2025, by and among the Sponsor, the Insiders and SPAC.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Sponsor hereby represents and warrants that it has full power and authority to enter into this Agreement and that this Agreement constitutes the legal, valid and binding obligation of the Sponsor, enforceable in accordance with its terms. Upon request, the Sponsor will execute any additional documents as may be necessary in connection with enforcement hereof. Any obligations of Sponsor shall be binding upon the successors and assigns of Sponsor from and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automatically terminate upon the expiration of the Lock-Up Period, and all rights and obligations of the Parties hereunder shall be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Effect; Assignment</w:t>
      </w:r>
      <w:r>
        <w:rPr>
          <w:rFonts w:ascii="Times New Roman;Times;Serif" w:hAnsi="Times New Roman;Times;Serif"/>
          <w:b w:val="false"/>
          <w:i w:val="false"/>
          <w:caps w:val="false"/>
          <w:smallCaps w:val="false"/>
          <w:sz w:val="20"/>
        </w:rPr>
        <w:t xml:space="preserve">. This Agreement and all of the provisions hereof shall be binding upon and inure solely to the benefit of the Parties hereto and their respective permitted successors and assigns. Except as otherwise provided in this Agreement, this Agreement shall not be assigned by operation of Law or otherwise without the prior written consent of all Parties hereto. Any assignment without such consent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shall relieve the assigning Party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Third Parties</w:t>
      </w:r>
      <w:r>
        <w:rPr>
          <w:rFonts w:ascii="Times New Roman;Times;Serif" w:hAnsi="Times New Roman;Times;Serif"/>
          <w:b w:val="false"/>
          <w:i w:val="false"/>
          <w:caps w:val="false"/>
          <w:smallCaps w:val="false"/>
          <w:sz w:val="20"/>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w:t>
      </w:r>
    </w:p>
    <w:p>
      <w:pPr>
        <w:pStyle w:val="TextBody"/>
        <w:bidi w:val="0"/>
        <w:spacing w:before="0" w:after="0"/>
        <w:ind w:left="0" w:right="0" w:firstLine="72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All legal actions and proceedings arising out of or relating to this Agreement shall be heard and determined exclusively in any Delaware Chancery Court;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jurisdiction is not then available in the Delaware Chancery Court, then any such legal Action may be brought in any federal court located in the State of Delaware or any other Delaware state court. The Parties hereby (a) irrevocably submit to the exclusive jurisdiction of the aforesaid courts for themselves and with respect to their respective properties for the purpose of any Action arising out of or relating to this Agreement brought by any Party and (b) agree not to commence any Action relating thereto except in the courts described above in Delaware, other than Actions in any court of competent jurisdiction to enforce any judgment, decree or award rendered by any such court in Delaware as described herein. Each Party further agrees that notice as provided herein shall constitute sufficient service of process and the Parties further waive any argument that such service is insufficient. Each Party hereby irrevocably and unconditionally waives, and agrees not to assert, by way of motion or as a defense, counterclaim or otherwise, in any Action arising out of or relating to this Agreement or the transactions contemplated hereby,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Action in any such court is brought in an inconvenient forum, (ii) the venue of such Action is improper or (iii) this Agreement, or the subject matter hereof, may not be enforced in or by such courts.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WAIVES TO THE FULLEST EXTENT PERMITTED BY APPLICABLE LAW ANY RIGHT IT MAY HAVE TO A TRIAL BY JURY WITH RESPECT TO ANY LITIGATION DIRECTLY OR INDIRECTLY ARISING OUT OF, UNDER OR IN CONNECTION WITH THIS AGREEMENT OR ANY TRANSACTION CONTEMPLATED HEREIN. EACH PARTY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TRANSACTIONS CONTEMPLATED HEREIN, AS APPLICABLE, BY, AMONG OTHER THINGS, THE MUTUAL WAIVERS AND CERTIFICATIONS IN THIS SECTION 2(f).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in this Agreement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pStyle w:val="TextBody"/>
        <w:bidi w:val="0"/>
        <w:spacing w:before="0" w:after="0"/>
        <w:ind w:left="0" w:right="0" w:firstLine="72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consents, waivers and other communications hereunder shall be in writing and shall be given (and shall be deemed to have been duly given upon receipt) by delivery (a) in person, (b) by e-mail (without receiving notice of non-receipt or other “bounce-back”), (c) by reputable, nationally recognized overnight courier service or (d) by registered or certified mail, prepaid and return receipt requested;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notice given pursuant to clauses (c) and (d) above shall not be effective unless a duplicate copy of such notice is also given in person or by e-mail (without receiving notice of non-receipt or other “bounce-back”); in each case to the applicable Party at the following addresses (or at such other address for a Party as shall be specified by like notice):</w:t>
      </w:r>
    </w:p>
    <w:p>
      <w:pPr>
        <w:pStyle w:val="TextBody"/>
        <w:bidi w:val="0"/>
        <w:spacing w:before="0" w:after="0"/>
        <w:ind w:left="0" w:right="0" w:firstLine="72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4190"/>
        <w:gridCol w:w="3995"/>
      </w:tblGrid>
      <w:tr>
        <w:trPr/>
        <w:tc>
          <w:tcPr>
            <w:tcW w:w="4190" w:type="dxa"/>
            <w:tcBorders/>
            <w:vAlign w:val="center"/>
          </w:tcPr>
          <w:p>
            <w:pPr>
              <w:pStyle w:val="TableContents"/>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to PubCo, to:</w:t>
            </w:r>
          </w:p>
          <w:p>
            <w:pPr>
              <w:pStyle w:val="TableContents"/>
              <w:bidi w:val="0"/>
              <w:spacing w:before="0" w:after="0"/>
              <w:ind w:left="1440" w:right="0" w:hanging="0"/>
              <w:jc w:val="left"/>
              <w:rPr>
                <w:caps w:val="false"/>
                <w:smallCaps w:val="false"/>
              </w:rPr>
            </w:pPr>
            <w:r>
              <w:rPr>
                <w:caps w:val="false"/>
                <w:smallCaps w:val="false"/>
              </w:rPr>
              <w:t> </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Air Water Company</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Air Water Ventures Ltd</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3, Kizad KLP FZ, Kizad</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 UAE</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109214</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Andrea Mollica and Ryan Bibbo</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andrea.mollica@taucapital.vc;</w:t>
              <w:br/>
              <w:t>ryan.bibbo@a1rwater.com</w:t>
            </w:r>
          </w:p>
          <w:p>
            <w:pPr>
              <w:pStyle w:val="TableContents"/>
              <w:bidi w:val="0"/>
              <w:spacing w:before="0" w:after="0"/>
              <w:ind w:left="1440" w:right="0" w:hanging="0"/>
              <w:jc w:val="left"/>
              <w:rPr>
                <w:caps w:val="false"/>
                <w:smallCaps w:val="false"/>
              </w:rPr>
            </w:pPr>
            <w:r>
              <w:rPr>
                <w:caps w:val="false"/>
                <w:smallCaps w:val="false"/>
              </w:rPr>
              <w:t> </w:t>
            </w:r>
          </w:p>
        </w:tc>
        <w:tc>
          <w:tcPr>
            <w:tcW w:w="399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(which will not constitute notice) to:</w:t>
            </w:r>
          </w:p>
          <w:p>
            <w:pPr>
              <w:pStyle w:val="TableContents"/>
              <w:bidi w:val="0"/>
              <w:spacing w:before="0" w:after="0"/>
              <w:ind w:left="6" w:right="0" w:hanging="0"/>
              <w:jc w:val="left"/>
              <w:rPr>
                <w:caps w:val="false"/>
                <w:smallCaps w:val="false"/>
              </w:rPr>
            </w:pPr>
            <w:r>
              <w:rPr>
                <w:caps w:val="false"/>
                <w:smallCaps w:val="false"/>
              </w:rPr>
              <w:t> </w:t>
            </w:r>
          </w:p>
          <w:p>
            <w:pPr>
              <w:pStyle w:val="TableContents"/>
              <w:bidi w:val="0"/>
              <w:spacing w:before="0" w:after="0"/>
              <w:ind w:left="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Lewis &amp; Bockius</w:t>
            </w:r>
          </w:p>
          <w:p>
            <w:pPr>
              <w:pStyle w:val="TableContents"/>
              <w:bidi w:val="0"/>
              <w:spacing w:before="0" w:after="0"/>
              <w:ind w:left="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Park Avenue</w:t>
            </w:r>
          </w:p>
          <w:p>
            <w:pPr>
              <w:pStyle w:val="TableContents"/>
              <w:bidi w:val="0"/>
              <w:spacing w:before="0" w:after="0"/>
              <w:ind w:left="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10178-0060</w:t>
            </w:r>
          </w:p>
          <w:p>
            <w:pPr>
              <w:pStyle w:val="TableContents"/>
              <w:bidi w:val="0"/>
              <w:spacing w:before="0" w:after="0"/>
              <w:ind w:left="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Russel Franklin</w:t>
            </w:r>
          </w:p>
          <w:p>
            <w:pPr>
              <w:pStyle w:val="TableContents"/>
              <w:bidi w:val="0"/>
              <w:spacing w:before="0" w:after="0"/>
              <w:ind w:left="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russell.franklin@morganlewis.com</w:t>
            </w:r>
          </w:p>
          <w:p>
            <w:pPr>
              <w:pStyle w:val="TableContents"/>
              <w:bidi w:val="0"/>
              <w:spacing w:before="0" w:after="0"/>
              <w:ind w:left="6"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4190" w:type="dxa"/>
            <w:tcBorders/>
            <w:vAlign w:val="center"/>
          </w:tcPr>
          <w:p>
            <w:pPr>
              <w:pStyle w:val="TableContents"/>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to the Sponsor, to:</w:t>
            </w:r>
          </w:p>
          <w:p>
            <w:pPr>
              <w:pStyle w:val="TableContents"/>
              <w:bidi w:val="0"/>
              <w:spacing w:before="0" w:after="0"/>
              <w:ind w:left="0" w:right="0" w:firstLine="1440"/>
              <w:jc w:val="left"/>
              <w:rPr>
                <w:caps w:val="false"/>
                <w:smallCaps w:val="false"/>
              </w:rPr>
            </w:pPr>
            <w:r>
              <w:rPr>
                <w:caps w:val="false"/>
                <w:smallCaps w:val="false"/>
              </w:rPr>
              <w:t> </w:t>
            </w:r>
          </w:p>
          <w:p>
            <w:pPr>
              <w:pStyle w:val="TableContents"/>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Inflection Point Holdings III LLC</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Madison Avenue,</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205 #1017</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10016</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Blitzer</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blitzer@kingstowncapital.com</w:t>
            </w:r>
          </w:p>
        </w:tc>
        <w:tc>
          <w:tcPr>
            <w:tcW w:w="399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(which will not constitute notice)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 LLP</w:t>
              <w:br/>
              <w:t>1221 Avenue of the Americas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br/>
              <w:t>Attn: Joel Rubinstein and Jason Rocha</w:t>
              <w:br/>
              <w:t>Email: joel.rubinstein@whitecase.com;</w:t>
              <w:br/>
              <w:t>jason.rocha@whitecase.com</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This Agreement may be amended, supplemented, modified or waived only by execution of a written instrument signed by each of the Parties.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Severabilit</w:t>
      </w:r>
      <w:r>
        <w:rPr>
          <w:rFonts w:ascii="Times New Roman;Times;Serif" w:hAnsi="Times New Roman;Times;Serif"/>
          <w:b w:val="false"/>
          <w:i w:val="false"/>
          <w:caps w:val="false"/>
          <w:smallCaps w:val="false"/>
          <w:sz w:val="20"/>
        </w:rPr>
        <w:t>y.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0" w:right="0" w:firstLine="144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irreparable damage would occur in the event that any of the provisions of this Agreement were not performed in accordance with their specific terms or were otherwise breached. The Parties further agree that each party shall be entitled to seek specific performance of the terms hereof and immediate injunctive relief and other equitable relief to prevent breaches, or threatened breaches, of this Agreement, without the necessity of proving the inadequacy of money damages as a remedy and without bond or other security being required, this being in addition to any other remedy to which they are entitled at law or in equity. The Parties further agree (i) not to assert that a remedy of specific enforcement pursuant to this Section 2(k) is unenforceable, invalid, contrary to applicable law or inequitable for any reason and (ii) to waive any defenses in any action for specific performance, including the defense that a remedy at law would be adequate.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Partnership, Agency or Joint Venture</w:t>
      </w:r>
      <w:r>
        <w:rPr>
          <w:rFonts w:ascii="Times New Roman;Times;Serif" w:hAnsi="Times New Roman;Times;Serif"/>
          <w:b w:val="false"/>
          <w:i w:val="false"/>
          <w:caps w:val="false"/>
          <w:smallCaps w:val="false"/>
          <w:sz w:val="20"/>
        </w:rPr>
        <w:t>. This Agreement is intended to create a contractual relationship between the Parties, and is not intended to create, and does not create, any agency, partnership, joint venture or any like relationship between or among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Entire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xml:space="preserve">. This Agreement and the Business Combination Agreement constitute the full and entire understanding and agreement among the Parties with respect to the subject matter hereof, and any other written or oral agreement relating to the subject matter hereof existing between the Parties is expressly superseded;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the avoidance of doubt, the foregoing shall not affect the rights and obligations of the Parties under the Business Combination Agreement or any Ancillary Document. Notwithstanding the foregoing, nothing in this Agreement shall limit any of the rights, remedies or obligations of the Parties under any other agreement among the Parties or any certificate or instrument executed by the Sponsor in favor of PubCo, and nothing in any other agreement, certificate or instrument shall limit any of the rights, remedies or obligations of the Parties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at another Party’s request and without further consideration (but at the requesting Party’s reasonable cost and expense), each Party shall execute and deliver such additional documents and take all such further action as may be reasonably necessary to consummate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Counterparts; Facsimile</w:t>
      </w:r>
      <w:r>
        <w:rPr>
          <w:rFonts w:ascii="Times New Roman;Times;Serif" w:hAnsi="Times New Roman;Times;Serif"/>
          <w:b w:val="false"/>
          <w:i w:val="false"/>
          <w:caps w:val="false"/>
          <w:smallCaps w:val="false"/>
          <w:sz w:val="20"/>
        </w:rPr>
        <w:t>. This Agreement may be executed and delivered (including by facsimile, email or other electronic transmission) in one or more counterparts, and by the different Parties in separate counterparts, each of which when executed shall be deemed to be an original but all of which taken together shall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Peter Carr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Peter Carr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(Sponsor)]</w:t>
      </w:r>
    </w:p>
    <w:p>
      <w:pPr>
        <w:pStyle w:val="TextBody"/>
        <w:bidi w:val="0"/>
        <w:spacing w:before="0" w:after="0"/>
        <w:ind w:left="0" w:right="0" w:hanging="0"/>
        <w:jc w:val="center"/>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SPONSOR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Inflection Point Holdings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Inflection Point Asset Management LLC, its manager</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65"/>
        <w:gridCol w:w="2375"/>
        <w:gridCol w:w="75"/>
      </w:tblGrid>
      <w:tr>
        <w:trPr/>
        <w:tc>
          <w:tcPr>
            <w:tcW w:w="665" w:type="dxa"/>
            <w:tcBorders/>
            <w:vAlign w:val="center"/>
          </w:tcPr>
          <w:p>
            <w:pPr>
              <w:pStyle w:val="TableContents"/>
              <w:bidi w:val="0"/>
              <w:spacing w:before="0" w:after="283"/>
              <w:jc w:val="left"/>
              <w:rPr/>
            </w:pPr>
            <w:r>
              <w:rPr/>
              <w:t>By:</w:t>
            </w:r>
          </w:p>
        </w:tc>
        <w:tc>
          <w:tcPr>
            <w:tcW w:w="2375" w:type="dxa"/>
            <w:tcBorders>
              <w:bottom w:val="single" w:sz="12" w:space="0" w:color="000000"/>
            </w:tcBorders>
            <w:tcMar>
              <w:bottom w:w="28" w:type="dxa"/>
            </w:tcMar>
            <w:vAlign w:val="center"/>
          </w:tcPr>
          <w:p>
            <w:pPr>
              <w:pStyle w:val="TableContents"/>
              <w:bidi w:val="0"/>
              <w:spacing w:before="0" w:after="283"/>
              <w:jc w:val="left"/>
              <w:rPr/>
            </w:pPr>
            <w:r>
              <w:rPr/>
              <w:t>/s/ Michael Blitzer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375" w:type="dxa"/>
            <w:tcBorders/>
            <w:vAlign w:val="center"/>
          </w:tcPr>
          <w:p>
            <w:pPr>
              <w:pStyle w:val="TableContents"/>
              <w:bidi w:val="0"/>
              <w:spacing w:before="0" w:after="283"/>
              <w:jc w:val="left"/>
              <w:rPr/>
            </w:pPr>
            <w:r>
              <w:rPr/>
              <w:t>Michael Blitzer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375" w:type="dxa"/>
            <w:tcBorders/>
            <w:vAlign w:val="center"/>
          </w:tcPr>
          <w:p>
            <w:pPr>
              <w:pStyle w:val="TableContents"/>
              <w:bidi w:val="0"/>
              <w:spacing w:before="0" w:after="283"/>
              <w:jc w:val="left"/>
              <w:rPr/>
            </w:pPr>
            <w:r>
              <w:rPr/>
              <w:t>Chief Investment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6"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(Sponsor)]</w:t>
      </w:r>
    </w:p>
    <w:p>
      <w:pPr>
        <w:pStyle w:val="TextBody"/>
        <w:bidi w:val="0"/>
        <w:spacing w:before="0" w:after="0"/>
        <w:ind w:left="0" w:right="0" w:hanging="0"/>
        <w:jc w:val="center"/>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279801ex4-8.htm"/>
      <w:bookmarkStart w:id="28" w:name="ksea030279801ex48"/>
      <w:bookmarkEnd w:id="27"/>
      <w:bookmarkEnd w:id="28"/>
      <w:r>
        <w:rPr>
          <w:rFonts w:ascii="Times New Roman;Times;Serif" w:hAnsi="Times New Roman;Times;Serif"/>
          <w:b/>
          <w:i w:val="false"/>
          <w:caps w:val="false"/>
          <w:smallCaps w:val="false"/>
          <w:sz w:val="20"/>
        </w:rPr>
        <w:t>Exhibit 4.8</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A to this exhibit has been omitted in accordance with Regulation S-K Item 601(a)(5). The Registrant agrees to furnish supplementally a copy of the omitted schedule to the Securities and Exchange Commission upon its request.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August 14, 2026 is made and entered into by and among Air Water Ventures Limited, a Cayman Islands exempted company (“</w:t>
      </w:r>
      <w:r>
        <w:rPr>
          <w:rFonts w:ascii="Times New Roman;Times;Serif" w:hAnsi="Times New Roman;Times;Serif"/>
          <w:b/>
          <w:i/>
          <w:caps w:val="false"/>
          <w:smallCaps w:val="false"/>
          <w:sz w:val="20"/>
        </w:rPr>
        <w:t>PubCo</w:t>
      </w:r>
      <w:r>
        <w:rPr>
          <w:rFonts w:ascii="Times New Roman;Times;Serif" w:hAnsi="Times New Roman;Times;Serif"/>
          <w:b w:val="false"/>
          <w:i w:val="false"/>
          <w:caps w:val="false"/>
          <w:smallCaps w:val="false"/>
          <w:sz w:val="20"/>
        </w:rPr>
        <w:t>”), Inflection Point Holdings III LLC, a Delaware limited liability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the members of the Sponsor identified on the signature pages hereto under “Other Sponsor Holders” (such members, together with the Sponsor, the “</w:t>
      </w:r>
      <w:r>
        <w:rPr>
          <w:rFonts w:ascii="Times New Roman;Times;Serif" w:hAnsi="Times New Roman;Times;Serif"/>
          <w:b/>
          <w:i/>
          <w:caps w:val="false"/>
          <w:smallCaps w:val="false"/>
          <w:sz w:val="20"/>
        </w:rPr>
        <w:t>Sponsor Holders</w:t>
      </w:r>
      <w:r>
        <w:rPr>
          <w:rFonts w:ascii="Times New Roman;Times;Serif" w:hAnsi="Times New Roman;Times;Serif"/>
          <w:b w:val="false"/>
          <w:i w:val="false"/>
          <w:caps w:val="false"/>
          <w:smallCaps w:val="false"/>
          <w:sz w:val="20"/>
        </w:rPr>
        <w:t>”), each of the undersigned parties listed on the signature pages hereto under “PIPE Holders” (the “</w:t>
      </w:r>
      <w:r>
        <w:rPr>
          <w:rFonts w:ascii="Times New Roman;Times;Serif" w:hAnsi="Times New Roman;Times;Serif"/>
          <w:b/>
          <w:i/>
          <w:caps w:val="false"/>
          <w:smallCaps w:val="false"/>
          <w:sz w:val="20"/>
        </w:rPr>
        <w:t>PIPE Holders</w:t>
      </w:r>
      <w:r>
        <w:rPr>
          <w:rFonts w:ascii="Times New Roman;Times;Serif" w:hAnsi="Times New Roman;Times;Serif"/>
          <w:b w:val="false"/>
          <w:i w:val="false"/>
          <w:caps w:val="false"/>
          <w:smallCaps w:val="false"/>
          <w:sz w:val="20"/>
        </w:rPr>
        <w:t>”), and each of the former shareholders of Air Water Ventures Holdings Limited, a Cayman Islands exempted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designated as Legacy Company Holders on the signature pages hereto (each such party a “</w:t>
      </w:r>
      <w:r>
        <w:rPr>
          <w:rFonts w:ascii="Times New Roman;Times;Serif" w:hAnsi="Times New Roman;Times;Serif"/>
          <w:b/>
          <w:i/>
          <w:caps w:val="false"/>
          <w:smallCaps w:val="false"/>
          <w:sz w:val="20"/>
        </w:rPr>
        <w:t>Legacy Company Holder</w:t>
      </w:r>
      <w:r>
        <w:rPr>
          <w:rFonts w:ascii="Times New Roman;Times;Serif" w:hAnsi="Times New Roman;Times;Serif"/>
          <w:b w:val="false"/>
          <w:i w:val="false"/>
          <w:caps w:val="false"/>
          <w:smallCaps w:val="false"/>
          <w:sz w:val="20"/>
        </w:rPr>
        <w:t xml:space="preserve">”, and such holders together with the Sponsor Holders, the PIPE Holders and any person or entity who hereafter becomes a party to this Agreement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this Agreement,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xml:space="preserve">”), and, for the limited purpose set forth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of this Agreement, Inflection Point Acquisition Corp. III, a Cayman Islands exempted company (“</w:t>
      </w:r>
      <w:r>
        <w:rPr>
          <w:rFonts w:ascii="Times New Roman;Times;Serif" w:hAnsi="Times New Roman;Times;Serif"/>
          <w:b/>
          <w:i/>
          <w:caps w:val="false"/>
          <w:smallCaps w:val="false"/>
          <w:sz w:val="20"/>
        </w:rPr>
        <w:t>SPAC</w:t>
      </w:r>
      <w:r>
        <w:rPr>
          <w:rFonts w:ascii="Times New Roman;Times;Serif" w:hAnsi="Times New Roman;Times;Serif"/>
          <w:b w:val="false"/>
          <w:i w:val="false"/>
          <w:caps w:val="false"/>
          <w:smallCaps w:val="false"/>
          <w:sz w:val="20"/>
        </w:rPr>
        <w:t>”). Capitalized terms used but not defined herein shall have the respective meanings ascribed to such terms in the Business Combination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PubCo has entered into that certain Business Combination Agreement, dated as of August 25, 2025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PubCo, SPAC, the Company and IPCX Merger Sub Limited, a Cayman Islands exempted company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pursuant to which, among other transactions: (i) SPAC will be merged with and into PubCo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as a result of which (a) PubCo shall continue as the surviving entity, and (b) each issued and outstanding SPAC Share, including the SPAC Class A Ordinary Shares issuable in settlement of the SPAC Rights, immediately prior to the First Merger Effective Time shall no longer be outstanding and shall automatically be cancelled, in exchange for the right of the holder thereof to receive the SPAC Per Share Merger Consideration subject to and on the terms and conditions set forth in the Business Combination Agreement; and (ii) at least one Business Day following the First Merger, the Company will be merged into Merger Sub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as a result of which (a) Merger Sub shall continue as the surviving entity and as a wholly owned subsidiary of PubCo, and (b) each issued and outstanding Company Ordinary Share, Company Series A Preferred Share, Company Warrant and Company RSU immediately prior to the Second Merger Effective Time shall no longer be outstanding and shall automatically be cancelled, in exchange for the right of the holder thereof to receive new PubCo Ordinary Shares, PubCo Preferred Shares, PubCo Series A Investor Warrants and Exchanged RSUs subject to and on the terms and conditions set forth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SPAC, Sponsor and Cantor Fitzgerald &amp; Co. (“</w:t>
      </w:r>
      <w:r>
        <w:rPr>
          <w:rFonts w:ascii="Times New Roman;Times;Serif" w:hAnsi="Times New Roman;Times;Serif"/>
          <w:b/>
          <w:i/>
          <w:caps w:val="false"/>
          <w:smallCaps w:val="false"/>
          <w:sz w:val="20"/>
        </w:rPr>
        <w:t>Cantor</w:t>
      </w:r>
      <w:r>
        <w:rPr>
          <w:rFonts w:ascii="Times New Roman;Times;Serif" w:hAnsi="Times New Roman;Times;Serif"/>
          <w:b w:val="false"/>
          <w:i w:val="false"/>
          <w:caps w:val="false"/>
          <w:smallCaps w:val="false"/>
          <w:sz w:val="20"/>
        </w:rPr>
        <w:t>”) entered into that certain Registration Rights Agreement, dated as of April 24, 2025 (the “</w:t>
      </w:r>
      <w:r>
        <w:rPr>
          <w:rFonts w:ascii="Times New Roman;Times;Serif" w:hAnsi="Times New Roman;Times;Serif"/>
          <w:b/>
          <w:i/>
          <w:caps w:val="false"/>
          <w:smallCaps w:val="false"/>
          <w:sz w:val="20"/>
        </w:rPr>
        <w:t>Prior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5.5 of the Prior Agreement provides that any provision, covenant or condition of the Prior Agreement can be amended or modified upon the written consent of PubCo (as successor to SPAC) and Holders (as such term is used in the Prior Agreement) of at least a majority in interest of the Registrable Securities (as such term in used in the Prior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Sponsor and Cantor own a majority in interest of the Registrable Securities (as such term is used in the Prior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PubCo and Sponsor intends for its entry into this Agreement to constitute written consent pursuant to Section 5.5 (Amendments and Modifications) of the Prior Agreement to amend the entirety of the Prior Agreement to provide for its termination without giving effect to the terms providing for the survival of certain provisions thereof as set forth in Section 5.7 (Term) of the Prior Agreement, with such termination effective as of the date hereof, in order to provide for the terms and conditions included herein;</w:t>
      </w:r>
    </w:p>
    <w:p>
      <w:pPr>
        <w:pStyle w:val="TextBody"/>
        <w:bidi w:val="0"/>
        <w:spacing w:before="0" w:after="0"/>
        <w:ind w:left="0" w:right="0" w:firstLine="72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prior to the First Merger, Sponsor owned, in aggregate (i) 8,433,333 SPAC Class B Ordinary Shares and (ii) 500,000 private placement units of SPAC, each consisting of one SPAC Class A Ordinary Share, of SPAC and one SPAC Right to receive one SPAC Class A Ordinary Share upon consummation of SPAC’s initial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in connection with the consummation of the First Merger, Pubco issued 8,983,333 PubCo Ordinary Shares to Sponsor;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in connection with the consummation of the Second Merger, Pubco issued 19,474,197 PubCo Ordinary Shares to the Legacy Company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in connection with the consummation of the Second Merger, Pubco issued 65,444.98 Pubco Preferred Shares to the Legacy Company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in connection with the consummation of the Second Merger, the holders of Company Warrants received 7,453,754 PubCo Series A Investor Warrants in exchange for such Company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in connection with the consummation of the Business Combination, PubCo issued an additional 51,294.12 PubCo Preferred Shares and additional PubCo Series A Investor Warrants to purchase an aggregate of 4,274,512 PubCo Ordinary Shares (subject to adjustment) to the PIPE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are entering into this Agreement concurrently with and, effective as of and contingent upon, the Closing;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PubCo and the Holders desire to enter into this Agreement, pursuant to which PubCo shall grant the Holders certain registration rights with respect to certain securities of PubCo,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defined in this Article I shall, for all purposes of this Agreement,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Chief Financial Officer of PubCo or the Board, in each case, after consultation with counsel to PubCo,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PubCo has a bona fide business purpose for not making such information public.</w:t>
      </w:r>
    </w:p>
    <w:p>
      <w:pPr>
        <w:pStyle w:val="TextBody"/>
        <w:bidi w:val="0"/>
        <w:spacing w:before="0" w:after="0"/>
        <w:ind w:left="0" w:right="0" w:firstLine="72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Block Trade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mean the board of directors of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shall have the meaning given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Days</w:t>
      </w:r>
      <w:r>
        <w:rPr>
          <w:rFonts w:ascii="Times New Roman;Times;Serif" w:hAnsi="Times New Roman;Times;Serif"/>
          <w:b w:val="false"/>
          <w:i w:val="false"/>
          <w:caps w:val="false"/>
          <w:smallCaps w:val="false"/>
          <w:sz w:val="20"/>
        </w:rPr>
        <w:t>” shall have the meaning given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have the meaning given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Demand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Floor Price</w:t>
      </w:r>
      <w:r>
        <w:rPr>
          <w:rFonts w:ascii="Times New Roman;Times;Serif" w:hAnsi="Times New Roman;Times;Serif"/>
          <w:b w:val="false"/>
          <w:i w:val="false"/>
          <w:caps w:val="false"/>
          <w:smallCaps w:val="false"/>
          <w:sz w:val="20"/>
        </w:rPr>
        <w:t>” shall mean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Form F-1</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Legacy Company Holders</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shall have the meaning given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Misstatement</w:t>
      </w:r>
      <w:r>
        <w:rPr>
          <w:rFonts w:ascii="Times New Roman;Times;Serif" w:hAnsi="Times New Roman;Times;Serif"/>
          <w:b w:val="false"/>
          <w:i w:val="false"/>
          <w:caps w:val="false"/>
          <w:smallCaps w:val="false"/>
          <w:sz w:val="20"/>
        </w:rPr>
        <w:t>” shall mean in the case of a Registration Statement, an untrue statement of a material fact or an omission to state a material fact required to be stated therein, or necessary to make the statements therein not misleading, and in the case of a Prospectus, an untrue statement of a material fact or an omission to state a material fact necessary in order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Transferees</w:t>
      </w:r>
      <w:r>
        <w:rPr>
          <w:rFonts w:ascii="Times New Roman;Times;Serif" w:hAnsi="Times New Roman;Times;Serif"/>
          <w:b w:val="false"/>
          <w:i w:val="false"/>
          <w:caps w:val="false"/>
          <w:smallCaps w:val="false"/>
          <w:sz w:val="20"/>
        </w:rPr>
        <w:t>” shall mean any person or entity to whom a Holder of Registrable Securities is permitted to transfer such Registrable Securities prior to the expiration of any lock-up period applicable between such Holder and PubCo, and to any transferee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PIPE Holders</w:t>
      </w:r>
      <w:r>
        <w:rPr>
          <w:rFonts w:ascii="Times New Roman;Times;Serif" w:hAnsi="Times New Roman;Times;Serif"/>
          <w:b w:val="false"/>
          <w:i w:val="false"/>
          <w:caps w:val="false"/>
          <w:smallCaps w:val="false"/>
          <w:sz w:val="20"/>
        </w:rPr>
        <w:t>” shall have the meaning given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Prior Agreement</w:t>
      </w:r>
      <w:r>
        <w:rPr>
          <w:rFonts w:ascii="Times New Roman;Times;Serif" w:hAnsi="Times New Roman;Times;Serif"/>
          <w:b w:val="false"/>
          <w:i w:val="false"/>
          <w:caps w:val="false"/>
          <w:smallCaps w:val="false"/>
          <w:sz w:val="20"/>
        </w:rPr>
        <w:t>” shall have the meaning given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PubCo</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PubCo Ordinary Shares</w:t>
      </w:r>
      <w:r>
        <w:rPr>
          <w:rFonts w:ascii="Times New Roman;Times;Serif" w:hAnsi="Times New Roman;Times;Serif"/>
          <w:b w:val="false"/>
          <w:i w:val="false"/>
          <w:caps w:val="false"/>
          <w:smallCaps w:val="false"/>
          <w:sz w:val="20"/>
        </w:rPr>
        <w:t>” means the ordinary shares, with $0.001 par value per share, of PubCo.</w:t>
      </w:r>
    </w:p>
    <w:p>
      <w:pPr>
        <w:pStyle w:val="TextBody"/>
        <w:bidi w:val="0"/>
        <w:spacing w:before="0" w:after="0"/>
        <w:ind w:left="0" w:right="0" w:firstLine="72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Security</w:t>
      </w:r>
      <w:r>
        <w:rPr>
          <w:rFonts w:ascii="Times New Roman;Times;Serif" w:hAnsi="Times New Roman;Times;Serif"/>
          <w:b w:val="false"/>
          <w:i w:val="false"/>
          <w:caps w:val="false"/>
          <w:smallCaps w:val="false"/>
          <w:sz w:val="20"/>
        </w:rPr>
        <w:t xml:space="preserve">” shall mean (a) any PubCo Ordinary Shares held by a Holder immediately following the Closing, (b) any PubCo Ordinary Shares that may be acquired by Holders upon the exercise, conversion or redemption of any other security of PubCo or other right to acquire PubCo Ordinary Shares held by a Holder immediately following the Closing, (c) any outstanding PubCo Ordinary Shares or other equity securities (including the PubCo Ordinary Shares issued or issuable upon the exercise of any other equity security) of PubCo held by a Holder on or following the date of this Agreement to the extent such securities are “restricted securities” or are held by an “affiliate” (each as defined in Rule 144 under the Securities Act) and (d) any other equity security, including any warrants, shares of capital stock or other securities of PubCo, issued or issuable with respect to any securities referenced in clauses (a), (b) or (c) above by way of share dividend or share split or in connection with a combination of shares, recapitalization, merger, consolidation, spin-off, reorganization or similar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(iv) such securities may be sold without registration, including pursuant to Rule 144 promulgated under the Securities Act (or any successor rule promulgated thereafter by the Commission) (but with no volume or other restrictions or limitations including as to manner or timing of sale or current public information requirements under Rule 144(i) (to the extent applicable)); or (v) such securities have been sold to, or through, a broker, dealer or Underwriter in a public distribution or other public securities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Expenses</w:t>
      </w:r>
      <w:r>
        <w:rPr>
          <w:rFonts w:ascii="Times New Roman;Times;Serif" w:hAnsi="Times New Roman;Times;Serif"/>
          <w:b w:val="false"/>
          <w:i w:val="false"/>
          <w:caps w:val="false"/>
          <w:smallCaps w:val="false"/>
          <w:sz w:val="20"/>
        </w:rPr>
        <w:t>” shall mean the documented, out-of-pocket expenses relating to a Registration, including, without limitation,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and filing fees (including fees with respect to filings required to be made with the Financial Industry Regulatory Authority, Inc.) and any securities exchange on which PubCo’s Ordinary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fees and disbursements of counsel for the Underwriters in connection with blue sky qualifications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and delivery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counsel for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PubCo’s internal expenses (including all salaries and expenses of its officers and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reasonable fees and expenses of any special experts retained by PubCo in connection with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reasonable fees and disbursements of underwriters customarily paid by issuers of securities in a secondary offering, but excluding underwriting discounts, commissions and transfer taxes, if any, with respect to Registrable Securities sold by PubCo;</w:t>
      </w:r>
    </w:p>
    <w:p>
      <w:pPr>
        <w:pStyle w:val="TextBody"/>
        <w:bidi w:val="0"/>
        <w:spacing w:before="0" w:after="0"/>
        <w:ind w:left="0" w:right="0" w:firstLine="72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reasonable fees and disbursements of all independent registered public accountants of PubCo incurred specifically in connection with such Registration;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reasonable fees and expenses of one (1) legal counsel selected by the majority-in-interest of the Demanding Holders initiating a Demand Registration to be registered for offer and sale in the applicable Registration not to exceed $75,000 without the consent of PubCo.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Requesting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 Offering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Shelf Offering Request</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Shelf Offering Notice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shall have the meaning given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Majority Holders</w:t>
      </w:r>
      <w:r>
        <w:rPr>
          <w:rFonts w:ascii="Times New Roman;Times;Serif" w:hAnsi="Times New Roman;Times;Serif"/>
          <w:b w:val="false"/>
          <w:i w:val="false"/>
          <w:caps w:val="false"/>
          <w:smallCaps w:val="false"/>
          <w:sz w:val="20"/>
        </w:rPr>
        <w:t>” shall mean the Sponsor Holders holding in the aggregate a majority of the Registrable Securities then held by the Sponsor Holders on an as-converted to PubCo Ordinary Share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 Registration</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Underwritten Offering</w:t>
      </w:r>
      <w:r>
        <w:rPr>
          <w:rFonts w:ascii="Times New Roman;Times;Serif" w:hAnsi="Times New Roman;Times;Serif"/>
          <w:b w:val="false"/>
          <w:i w:val="false"/>
          <w:caps w:val="false"/>
          <w:smallCaps w:val="false"/>
          <w:sz w:val="20"/>
        </w:rPr>
        <w:t>” shall mean a Registration in which securities of PubCo are sold to one or more Underwriters in a firm commitment underwriting for distribution to the public.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REGISTRATIONS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Request for Registration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 and provided a Shelf Registration Statement has been filed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hereof and been declared effective by the Commission, at any time and from time to time on or after the date on which the Shelf Registration Statement ceases to be effective, Holders of at least 25% of the then outstanding number of Registrable Securities (the “</w:t>
      </w:r>
      <w:r>
        <w:rPr>
          <w:rFonts w:ascii="Times New Roman;Times;Serif" w:hAnsi="Times New Roman;Times;Serif"/>
          <w:b/>
          <w:i/>
          <w:caps w:val="false"/>
          <w:smallCaps w:val="false"/>
          <w:sz w:val="20"/>
        </w:rPr>
        <w:t>Demanding Holders</w:t>
      </w:r>
      <w:r>
        <w:rPr>
          <w:rFonts w:ascii="Times New Roman;Times;Serif" w:hAnsi="Times New Roman;Times;Serif"/>
          <w:b w:val="false"/>
          <w:i w:val="false"/>
          <w:caps w:val="false"/>
          <w:smallCaps w:val="false"/>
          <w:sz w:val="20"/>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Times;Serif" w:hAnsi="Times New Roman;Times;Serif"/>
          <w:b/>
          <w:i/>
          <w:caps w:val="false"/>
          <w:smallCaps w:val="false"/>
          <w:sz w:val="20"/>
        </w:rPr>
        <w:t>Demand Registration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PubCo shall, promptly following PubCo’s receipt of a Demand Registration and, in any event, within twenty (20) days of its receipt of such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Times;Serif" w:hAnsi="Times New Roman;Times;Serif"/>
          <w:b/>
          <w:i/>
          <w:caps w:val="false"/>
          <w:smallCaps w:val="false"/>
          <w:sz w:val="20"/>
        </w:rPr>
        <w:t>Requesting Holder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shall so notify PubCo, in writing, within five (5) Business Days after the receipt by the Holder of the notice from PubCo. Upon receipt by PubCo of any such written notification from a Requesting Holder(s) to PubCo, such Requesting Holder(s) shall be entitled to have their Registrable Securities included in a Registration pursuant to a Demand Registration and PubCo shall effect, as soon thereafter as reasonably practicable, the Registration of all Registrable Securities requested by the Demanding Holders and Requesting Holders pursuant to such Demand Registration. PubCo shall not be obligated to effect more than an aggregate of four (4) Registrations pursuant to a Demand Registration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with respect to any or all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Registration shall not be counted for such purpose unless a Form F-1 or any similar long-form registration statement that may be available at such time (“</w:t>
      </w:r>
      <w:r>
        <w:rPr>
          <w:rFonts w:ascii="Times New Roman;Times;Serif" w:hAnsi="Times New Roman;Times;Serif"/>
          <w:b/>
          <w:i/>
          <w:caps w:val="false"/>
          <w:smallCaps w:val="false"/>
          <w:sz w:val="20"/>
        </w:rPr>
        <w:t>Form F-1</w:t>
      </w:r>
      <w:r>
        <w:rPr>
          <w:rFonts w:ascii="Times New Roman;Times;Serif" w:hAnsi="Times New Roman;Times;Serif"/>
          <w:b w:val="false"/>
          <w:i w:val="false"/>
          <w:caps w:val="false"/>
          <w:smallCaps w:val="false"/>
          <w:sz w:val="20"/>
        </w:rPr>
        <w:t xml:space="preserve">”) has become effective and all of the Registrable Securities requested by the Requesting Holders to be registered on behalf of the Requesting Holders in such Form F-1 Registration have been sold, in accordance with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Effective Registration</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PubCo has complied with all of its obligations under this Agreement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PubCo in writing, but in no event later than five (5) days of such election;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PubCo shall not be obligated or required to file another Registration Statement until the Registration Statement that has been previously filed with respect to a Registration pursuant to a Demand Registration becomes effective or is subsequently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 if a majority-in-interest of the Demanding Holders so advise PubCo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PubCo shall only be obligated to effect an Underwritten Offering pursuant to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if such offering shall include Registrable Securities proposed to be sold by such Holders with an anticipated aggregate offering price, before deduction of underwriting discounts and commissions, of at least $20 million. The applicable Holders shall have the right to select the underwriter(s) for such offering (which shall consist of one or more reputable nationally recognized investment banks), subject to PubCo’s prior approval which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managing Underwriter or Underwriters in an Underwritten Registration pursuant to a Demand Registration, in good faith, advises PubCo, the Demanding Holders and the Requesting Holders (if any) in writing that the dollar amount or number of Registrable Securities that the Demanding Holders and the Requesting Holders (if any) desire to sell, taken together with all other PubCo Ordinary Shares or other equity securities that PubCo desires to sell and PubCo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i/>
          <w:caps w:val="false"/>
          <w:smallCaps w:val="false"/>
          <w:sz w:val="20"/>
        </w:rPr>
        <w:t>Maximum Number of Securities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then PubCo shall include in such Underwritten Offering, as follows: (a)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Times;Serif" w:hAnsi="Times New Roman;Times;Serif"/>
          <w:b/>
          <w:i/>
          <w:caps w:val="false"/>
          <w:smallCaps w:val="false"/>
          <w:sz w:val="20"/>
        </w:rPr>
        <w:t>Pro Rata</w:t>
      </w:r>
      <w:r>
        <w:rPr>
          <w:rFonts w:ascii="Times New Roman;Times;Serif" w:hAnsi="Times New Roman;Times;Serif"/>
          <w:b w:val="false"/>
          <w:i w:val="false"/>
          <w:caps w:val="false"/>
          <w:smallCaps w:val="false"/>
          <w:sz w:val="20"/>
        </w:rPr>
        <w:t>”)) that can be sold without exceeding the Maximum Number of Securities; (b) second, to the extent that the Maximum Number of Securities has not been reached under the foregoing clause (a), PubCo Ordinary Shares or other equity securities that PubCo desires to sell, which can be sold without exceeding the Maximum Number of Securities; and (c) third, to the extent that the Maximum Number of Securities has not been reached under the foregoing clauses (a) and (b), PubCo Ordinary Shares or other equity securities of other persons or entities that PubCo is obligated to register in a Registration pursuant to separate written contractual arrangements with such persons and that can be sold without exceeding the Maximum Number of Securities.</w:t>
      </w:r>
    </w:p>
    <w:p>
      <w:pPr>
        <w:pStyle w:val="TextBody"/>
        <w:bidi w:val="0"/>
        <w:spacing w:before="0" w:after="0"/>
        <w:ind w:left="0" w:right="0" w:firstLine="144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Demand Registration Withdrawal</w:t>
      </w:r>
      <w:r>
        <w:rPr>
          <w:rFonts w:ascii="Times New Roman;Times;Serif" w:hAnsi="Times New Roman;Times;Serif"/>
          <w:b w:val="false"/>
          <w:i w:val="false"/>
          <w:caps w:val="false"/>
          <w:smallCaps w:val="false"/>
          <w:sz w:val="20"/>
        </w:rPr>
        <w:t xml:space="preserve">. A majority-in-interest of the Demanding Holders initiating a Demand Registration or a majority-in-interest of the Requesting Holders (if any), pursuant to a Registration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have the right to withdraw from a Registration pursuant to such Demand Registration for any or no reason whatsoever upon written notification to PubCo and the Underwriter or Underwriters (if any) of their intention to withdraw from such Registration at least three (3) Business Days prior to the effectiveness of the Registration Statement filed with the Commission with respect to the Registration of their Registrable Securities pursuant to such Demand Registration. Notwithstanding anything to the contrary in this Agreement, PubCo shall be responsible for the Registration Expenses incurred in connection with a Demand Registration prior to its withdrawal under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If, at any time on or after the date hereof, PubCo proposes to file a Registration Statement under the Securities Act with respect to an offering of equity securities or securities or other obligations exercisable or exchangeable for, or convertible into, equity securities for its own account or for the account of persons other than the Holders of Registrable Securities, other than a Registration Statement (a) filed in connection with any employee or director share option, compensation or other benefit plan, (b) for an exchange offer or offering of securities solely to PubCo’s existing shareholders, (c) for an offering of debt that is convertible into equity securities of PubCo, (d) for an “at-the-market” or similar registered offering through a broker, sales agent or distribution agent, whether as agent or principal, (e) relating to a transaction pursuant to Rule 145 under the Securities Act or (f) for a dividend reinvestment plan, then PubCo shall give written notice of such proposed filing to all of the Holders of Registrable Securities as soon as reasonably practicable, but not less than ten (10) days (or, in the case of a Block Trade or Other Coordinated Offering, five (5) days), before the anticipated filing date of such Registration Statement, which notice shall (i) describe the amount and type of securities to be included in such offering, the intended method(s) of distribution, and the name of the proposed managing Underwriter or Underwriters, if any, in such offering, and (ii) offer to all of the Holders of Registrable Securities the opportunity to register the sale of such number of Registrable Securities as such Holders may request in writing within three (3) Business Days (unless such offering is an overnight or bought Underwritten Offering, Block Trade or Other Coordinated Offering, then two (2) days), in each case after receipt of such written notice (such Registration a “</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PubCo has been advised in writing by the managing Underwriter(s) that the inclusion of Registrable Securities for sale for the benefit of the Holders will have an adverse effect on the price, timing, or distribution method of the PubCo Ordinary Shares in, or probability of success of, an Underwritten Offering, then if no Registrable Securities can be included in the Underwritten Offering in the opinion of the managing Underwriter(s), PubCo shall not be required to offer such opportunity to such Holders. PubCo shall, in good faith, cause such Registrable Securities to be included in such Piggyback Registration and, if applicable, shall use its commercially reasonable efforts to cause the managing Underwriter or Underwriters of a proposed Underwritten Offering to permit the Registrable Securities requested by the Holders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PubCo. PubCo may postpone or withdraw the filing or the effectiveness of a Piggyback Registration at any time in its sole discretion.</w:t>
      </w:r>
    </w:p>
    <w:p>
      <w:pPr>
        <w:pStyle w:val="TextBody"/>
        <w:bidi w:val="0"/>
        <w:spacing w:before="0" w:after="0"/>
        <w:ind w:left="0" w:right="0" w:firstLine="144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xml:space="preserve">. If the managing Underwriter or Underwriters in an Underwritten Registration that is to be a Piggyback Registration, in good faith, advises PubCo and the Holders of Registrable Securities participating in the Piggyback Registration in writing that the dollar amount or number of PubCo Ordinary Shares that PubCo desires to sell, taken together with (a) PubCo Ordinary Shares, if any, as to which Registration has been demanded pursuant to separate written contractual arrangements with persons or entities other than the Holders of Registrable Securities hereunder, (b) the Registrable Securities as to which registration has been requested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and (c) PubCo Ordinary Shares, if any, as to which Registration has been requested pursuant to separate written contractual piggyback registration rights of other shareholders of PubCo, exceeds the Maximum Number of Securities, then: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Registration is undertaken for PubCo’s account, PubCo shall include in any such Registration: (A) first, PubCo Ordinary Shares or other equity securities that PubCo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hereof, Pro Rata, which can be sold without exceeding the Maximum Number of Securities; and (C) third, to the extent that the Maximum Number of Securities has not been reached under the foregoing clauses (A) and (B), PubCo Ordinary Shares, if any, as to which Registration has been requested pursuant to written contractual piggyback registration rights of other shareholders of PubCo, which can be sold without exceeding the Maximum Number of Securities;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Registration is pursuant to a request by persons or entities other than the Holders of Registrable Securities, then PubCo shall include in any such Registration: (A) first, PubCo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Pro Rata, which can be sold without exceeding the Maximum Number of Securities; (C) third, to the extent that the Maximum Number of Securities has not been reached under the foregoing clauses (A) and (B), PubCo Ordinary Shares or other equity securities that PubCo desires to sell, which can be sold without exceeding the Maximum Number of Securities; and (D) fourth, to the extent that the Maximum Number of Securities has not been reached under the foregoing clauses (A), (B) and (C), PubCo Ordinary Shares or other equity securities for the account of other persons or entities that PubCo is obligated to register pursuant to separate written contractual arrangements with such persons or entities, which can be sold without exceeding the Maximum Number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xml:space="preserve">. Any Holder of Registrable Securities shall have the right to withdraw from a Piggyback Registration for any or no reason whatsoever upon written notification to PubCo and the Underwriter or Underwriters (if any) of his, her or its intention to withdraw from such Piggyback Registration prior to the effectiveness of the Registration Statement filed with the Commission with respect to such Piggyback Registration.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(but subject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PubCo shall be responsible for all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xml:space="preserve">. For purposes of clarity, any Registration effected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shall not be counted as a Registration pursuant to a Demand Registration effected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or an Underwritten Takedown effected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Shelf Registrations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PubCo shall as soon as reasonably practicable, but in any event within thirty (30) days after the Closing Date (as defined in the Business Combination Agreement), file with the Commission a registration statement under the Securities Act for the shelf registration (a “</w:t>
      </w:r>
      <w:r>
        <w:rPr>
          <w:rFonts w:ascii="Times New Roman;Times;Serif" w:hAnsi="Times New Roman;Times;Serif"/>
          <w:b/>
          <w:i/>
          <w:caps w:val="false"/>
          <w:smallCaps w:val="false"/>
          <w:sz w:val="20"/>
        </w:rPr>
        <w:t>Shelf Registration Statement</w:t>
      </w:r>
      <w:r>
        <w:rPr>
          <w:rFonts w:ascii="Times New Roman;Times;Serif" w:hAnsi="Times New Roman;Times;Serif"/>
          <w:b w:val="false"/>
          <w:i w:val="false"/>
          <w:caps w:val="false"/>
          <w:smallCaps w:val="false"/>
          <w:sz w:val="20"/>
        </w:rPr>
        <w:t xml:space="preserve">”) covering, subject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public sale or resale of all of the Registrable Securities (determined as of two (2) Business Days prior to such filing and assuming that (i) all shares of Series A Preferred Stock are converted into PubCo Ordinary Shares at a conversion price equal to the Floor Price and (ii) all Series A Investor Warrants are exercised in full at an exercise price equal to the Floor Price) on a delayed or continuous basis. PubCo shall use its commercially reasonable efforts to cause any Shelf Registration Statement to be declared effective under the Securities Act as soon as reasonably practicable after the initial filing of such Shelf Registration Statement, but no later than the earlier of (a) the 90th calendar day following the filing date thereof if the Commission notifies PubCo that it will “review” the Shelf Registration Statement and (b) the tenth (10th) business day after the date PubCo is notified (orally or in writing, whichever is earlier) by the Commission that the Shelf Registration Statement will not be “reviewed” or will not be subject to further review. Such Shelf Registration Statement shall provide for the resale of the Registrable Securities included therein pursuant to any method or combination of methods legally available to, and requested by, any Holder named therein. Subject to </w:t>
      </w:r>
      <w:r>
        <w:rPr>
          <w:rFonts w:ascii="Times New Roman;Times;Serif" w:hAnsi="Times New Roman;Times;Serif"/>
          <w:b w:val="false"/>
          <w:i w:val="false"/>
          <w:caps w:val="false"/>
          <w:smallCaps w:val="false"/>
          <w:sz w:val="20"/>
          <w:u w:val="single"/>
        </w:rPr>
        <w:t>Sections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PubCo shall maintain a Shelf Registration Statement in accordance with the terms hereof, and shall prepare and file with the Commission such amendments, including post-effective amendments, and supplements as may be necessary to keep a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In the event PubCo files a Shelf Registration Statement on Form F-1, PubCo shall use its commercially reasonable efforts to convert such Shelf Registration Statement (and any Subsequent Shelf Registration) to a registration statement on Form F-3 as soon as reasonably practicable after PubCo is eligible to use Form F-3.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Shelf Registration Statement ceases to be effective under the Securities Act for any reason at any time while Registrable Securities are still outstanding, PubCo shall,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use its commercially reasonable efforts to, as promptly as is reasonably practicable, cause such Shelf Registration Statement to again become effective under the Securities Act (including using its commercially reasonable efforts to obtain the prompt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as a Shelf Registration Statement (a “</w:t>
      </w:r>
      <w:r>
        <w:rPr>
          <w:rFonts w:ascii="Times New Roman;Times;Serif" w:hAnsi="Times New Roman;Times;Serif"/>
          <w:b/>
          <w:i/>
          <w:caps w:val="false"/>
          <w:smallCaps w:val="false"/>
          <w:sz w:val="20"/>
        </w:rPr>
        <w:t>Subsequent Shelf Registration</w:t>
      </w:r>
      <w:r>
        <w:rPr>
          <w:rFonts w:ascii="Times New Roman;Times;Serif" w:hAnsi="Times New Roman;Times;Serif"/>
          <w:b w:val="false"/>
          <w:i w:val="false"/>
          <w:caps w:val="false"/>
          <w:smallCaps w:val="false"/>
          <w:sz w:val="20"/>
        </w:rPr>
        <w:t>”) registering the resale of all Registrable Securities under such Shelf Registration Statement (determined as of two (2) business days prior to such filing and assuming that (i) all shares of Series A Preferred Stock are converted into PubCo Ordinary Shares at a conversion price equal to the Floor Price and (ii) all Series A Investor Warrants are exercised in full at an exercise price equal to the Floor Price), and pursuant to any method or combination of methods legally available to, and requested by, any Holder named therein. If a Subsequent Shelf Registration is filed, PubCo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PubCo is a well-known seasoned issuer (as defined in Rule 405 promulgated under the Securities Act) at the most recent applicable eligibility determination date) and (ii) keep such Subsequent Shelf Registration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shall be on Form F-3 to the extent that PubCo is eligible to use such form. Otherwise, such Subsequent Shelf Registration shall be on another appropriate form.</w:t>
      </w:r>
    </w:p>
    <w:p>
      <w:pPr>
        <w:pStyle w:val="TextBody"/>
        <w:bidi w:val="0"/>
        <w:spacing w:before="0" w:after="0"/>
        <w:ind w:left="0" w:right="0" w:firstLine="1440"/>
        <w:jc w:val="both"/>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in the event that any Holder holds Registrable Securities that are not registered for resale on a delayed or continuous basis, PubCo shall, upon the written request of such Holder, promptly use its commercially reasonable efforts to cause the resale of such Registrable Securities to be covered by either, at PubCo’s option, any then-available Shelf Registration Statement (including by means of a post-effective amendment) or a Subsequent Shelf Registration and cause the same to become effective as soon as practicable after such filing and such Shelf Registration Statement or Subsequent Shelf Registration shall be subject to the terms hereof; provided, however, that PubCo shall only be required to cause such Registrable Securities to be so covered twice per calendar year for each of (i) the Sponsor Holders, collectively, (ii) the Legacy Company Holders, collectively and (iii) the PIPE Holders, collectively.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any time from time to time after the effectiveness of a Shelf Registration Statement, subject to any lock-up restrictions, Holders of Registrable Securities shall have the right at any time or from time to time to elect to sell pursuant to an offering (including an underwritten offering (an “</w:t>
      </w:r>
      <w:r>
        <w:rPr>
          <w:rFonts w:ascii="Times New Roman;Times;Serif" w:hAnsi="Times New Roman;Times;Serif"/>
          <w:b/>
          <w:i/>
          <w:caps w:val="false"/>
          <w:smallCaps w:val="false"/>
          <w:sz w:val="20"/>
        </w:rPr>
        <w:t>Underwritten Takedown</w:t>
      </w:r>
      <w:r>
        <w:rPr>
          <w:rFonts w:ascii="Times New Roman;Times;Serif" w:hAnsi="Times New Roman;Times;Serif"/>
          <w:b w:val="false"/>
          <w:i w:val="false"/>
          <w:caps w:val="false"/>
          <w:smallCaps w:val="false"/>
          <w:sz w:val="20"/>
        </w:rPr>
        <w:t>”)) Registrable Securities available for sale pursuant to such registration statement (“</w:t>
      </w:r>
      <w:r>
        <w:rPr>
          <w:rFonts w:ascii="Times New Roman;Times;Serif" w:hAnsi="Times New Roman;Times;Serif"/>
          <w:b/>
          <w:i/>
          <w:caps w:val="false"/>
          <w:smallCaps w:val="false"/>
          <w:sz w:val="20"/>
        </w:rPr>
        <w:t>Shelf Registrable Securities</w:t>
      </w:r>
      <w:r>
        <w:rPr>
          <w:rFonts w:ascii="Times New Roman;Times;Serif" w:hAnsi="Times New Roman;Times;Serif"/>
          <w:b w:val="false"/>
          <w:i w:val="false"/>
          <w:caps w:val="false"/>
          <w:smallCaps w:val="false"/>
          <w:sz w:val="20"/>
        </w:rPr>
        <w:t>”). The applicable Holders shall make such election by delivering to PubCo at least ten (10) Business Days prior to such offering a written request (a “</w:t>
      </w:r>
      <w:r>
        <w:rPr>
          <w:rFonts w:ascii="Times New Roman;Times;Serif" w:hAnsi="Times New Roman;Times;Serif"/>
          <w:b/>
          <w:i/>
          <w:caps w:val="false"/>
          <w:smallCaps w:val="false"/>
          <w:sz w:val="20"/>
        </w:rPr>
        <w:t>Shelf Offering Request</w:t>
      </w:r>
      <w:r>
        <w:rPr>
          <w:rFonts w:ascii="Times New Roman;Times;Serif" w:hAnsi="Times New Roman;Times;Serif"/>
          <w:b w:val="false"/>
          <w:i w:val="false"/>
          <w:caps w:val="false"/>
          <w:smallCaps w:val="false"/>
          <w:sz w:val="20"/>
        </w:rPr>
        <w:t>”) specifying the number of Shelf Registrable Securities that such Holders desire to sell pursuant to such offering and the expected price range (net of any underwriting discounts and commissions) of such offering (the “</w:t>
      </w:r>
      <w:r>
        <w:rPr>
          <w:rFonts w:ascii="Times New Roman;Times;Serif" w:hAnsi="Times New Roman;Times;Serif"/>
          <w:b/>
          <w:i/>
          <w:caps w:val="false"/>
          <w:smallCaps w:val="false"/>
          <w:sz w:val="20"/>
        </w:rPr>
        <w:t>Shelf Offering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such Shelf Offering is an Underwritten Takedown, PubCo shall only be obligated to effect such Underwritten Takedown if such offering shall include Shelf Registrable Securities proposed to be sold by the Holder, either individually or together with other Holders, with an anticipated aggregate offering price, before deduction of underwriting discounts and commissions, of at least $20 million. The applicable Holders shall have the right to select the underwriter(s) for such offering (which shall consist of one or more reputable nationally recognized investment banks), subject to PubCo’s prior approval which shall not be unreasonably withheld, conditioned or delayed. In the case of an Underwritten Takedown, as promptly as reasonably practicable, but no later than five (5) Business Days after receipt of a Shelf Offering Request, PubCo shall give written notice (the “</w:t>
      </w:r>
      <w:r>
        <w:rPr>
          <w:rFonts w:ascii="Times New Roman;Times;Serif" w:hAnsi="Times New Roman;Times;Serif"/>
          <w:b/>
          <w:i/>
          <w:caps w:val="false"/>
          <w:smallCaps w:val="false"/>
          <w:sz w:val="20"/>
        </w:rPr>
        <w:t>Shelf Offering Notice</w:t>
      </w:r>
      <w:r>
        <w:rPr>
          <w:rFonts w:ascii="Times New Roman;Times;Serif" w:hAnsi="Times New Roman;Times;Serif"/>
          <w:b w:val="false"/>
          <w:i w:val="false"/>
          <w:caps w:val="false"/>
          <w:smallCaps w:val="false"/>
          <w:sz w:val="20"/>
        </w:rPr>
        <w:t xml:space="preserve">”) of such Shelf Offering Request to all other Holders of Shelf Registrable Securities. PubCo shall include in such Shelf Offering the Shelf Registrable Securities of any other Holder that shall have made a written request to PubCo for inclusion in such Shelf Offering (which request shall specify the maximum number of Shelf Registrable Securities intended to be sold by such Holder) within five (5) Business Days after the receipt of the Shelf Offering Notice. PubCo shall, as expeditiously as possible, use its commercially reasonable efforts to facilitate such Shelf Offering. Notwithstanding the foregoing, each of (i) the Sponsor Holders, collectively, (ii) the Legacy Company Holders, collectively, and (iii) the PIPE Holders, collectively, may demand Underwritten Takedowns pursuant to this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(x) not more than two (2) times in any 12-month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Underwritten Takedown shall not be counted for such purposes unless all of the Shelf Registrable Securities requested by the applicable Holders to be included in the Underwritten Takedown have been sold.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if any Holder desires to effect a sale of Shelf Registrable Securities that does not constitute an Underwritten Takedown, the Holder shall deliver to PubCo a Shelf Offering Request no later than two (2) Business Days prior to the expected date of the sale of such Shelf Registrable Securities, and PubCo shall use its reasonable efforts to file and effect an amendment or supplement to its Shelf Registration Statement for such purpose as soon as reasonably practicable to the extent necessary in order to enable such offering to take place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PubCo shall, at the reasonable request of Holders representing a majority of the Registrable Securities covered by a Shelf Registration Statement, file any prospectus supplement or, if the applicable Shelf Registration Statement is an Automatic Shelf Registration Statement, any post-effective amendments, or incorporation by reference any required information and otherwise take any action necessary to include therein all disclosure and language deemed reasonably necessary or advisable in the opinion of counsel of such Holders to effect such Shelf Offering.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Priority on Shelf Offerings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 if the number of Registrable Securities which can be included on a Shelf Registration Statement is otherwise limited by Instruction I.B.5 to Form F-3 (or any successor provision thereto), PubCo shall include in such registration or offering prior to the inclusion of any securities which are not Registrable Securities the number of Registrable Securities requested to be included which can be included on such Shelf Registration Statement in accordance with the requirements of Form F-3, pro rata among the respective Holders thereof on the basis of the amount of Registrable Securities owned by each such Holder that such Holder of Registrable Securities shall have requested to be included therein.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Block Trades; Other Coordinated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following the expiration of the applicable lock-up period to such Holder, in the event of a sale of Registrable Securities in (a) an underwritten transaction requiring the involvement of PubCo but not involving any “road show” and which is commonly known as a “block trade” (a “</w:t>
      </w:r>
      <w:r>
        <w:rPr>
          <w:rFonts w:ascii="Times New Roman;Times;Serif" w:hAnsi="Times New Roman;Times;Serif"/>
          <w:b/>
          <w:i/>
          <w:caps w:val="false"/>
          <w:smallCaps w:val="false"/>
          <w:sz w:val="20"/>
        </w:rPr>
        <w:t>Block Trade</w:t>
      </w:r>
      <w:r>
        <w:rPr>
          <w:rFonts w:ascii="Times New Roman;Times;Serif" w:hAnsi="Times New Roman;Times;Serif"/>
          <w:b w:val="false"/>
          <w:i w:val="false"/>
          <w:caps w:val="false"/>
          <w:smallCaps w:val="false"/>
          <w:sz w:val="20"/>
        </w:rPr>
        <w:t>”) or (b) an “at the market” or similar registered offering through a broker, sales agent or distribution agent, whether as agent or principal, (an “</w:t>
      </w:r>
      <w:r>
        <w:rPr>
          <w:rFonts w:ascii="Times New Roman;Times;Serif" w:hAnsi="Times New Roman;Times;Serif"/>
          <w:b/>
          <w:i/>
          <w:caps w:val="false"/>
          <w:smallCaps w:val="false"/>
          <w:sz w:val="20"/>
        </w:rPr>
        <w:t>Other Coordinated Offering</w:t>
      </w:r>
      <w:r>
        <w:rPr>
          <w:rFonts w:ascii="Times New Roman;Times;Serif" w:hAnsi="Times New Roman;Times;Serif"/>
          <w:b w:val="false"/>
          <w:i w:val="false"/>
          <w:caps w:val="false"/>
          <w:smallCaps w:val="false"/>
          <w:sz w:val="20"/>
        </w:rPr>
        <w:t>”), (1) the Holder shall (i) give at least five Business Days prior notice in writing of such transaction to PubCo, (ii) identify the potential underwriter(s) in such notice with contact information for such underwriter(s) and (iii) the maximum number of Registrable Securities to be sold in such offering and the expected gross proceeds of such offering; and (2) PubCo shall cooperate with such requesting Holder or Holders to the extent it is reasonably able to effect such Block Trade or Other Coordinated Offering. Any Block Trade or Other Coordinated Offering shall be for at least $20 million in expected gross proceeds. For the avoidance of doubt, a Block Trade or Other Coordinated Offering shall not constitute an Underwritten Takedown. The Holders of at least a majority of the Registrable Securities being sold in any Block Trade or Other Coordinated Offering shall select the underwriter(s), brokers, sales agents or distribution agents to administer such Block Trade or Other Coordinated Offering, as applicable; provided that such underwriter(s), brokers, sales agents or distribution agents shall be reasonably acceptable to PubCo.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filing of the applicable “red herring” prospectus or prospectus supplement used in connection with a Block Trade or Other Coordinated Offering, the Holder shall have the right to submit a written notice of withdrawal to PubCo of its intention to withdraw from such Block Trade or Other Coordinated Offering. Notwithstanding anything to the contrary in this Agreement, PubCo shall be responsible for the Registration Expenses incurred in connection with a Block Trade or Other Coordinated Offering prior to such Holder’s withdrawal under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not apply to a Block Trade or Other Coordinated Offering initiated by a Holder pursuant to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PUBCO PROCEDURES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If at any time on or after the date hereof PubCo is required to effect the Registration of Registrable Securities, PubCo shall use its commercially reasonable efforts to effect such Registration to permit the sale of such Registrable Securities in accordance with the intended plan of distribution thereof (and including all manners of distribution in such Registration Statement as Holders may reasonably request in connection with the filing of such Registration Statement and as permitted by law, including distribution of Registrable Securities to a Holder’s members, securityholders or partners), and pursuant thereto PubCo shall, as soon as reasonably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prepare and file with the Commission a Registration Statement with respect to such Registrable Securities and use its commercially reasonable efforts to cause such Registration Statement to become effective and remain effective until all Registrable Securities covered by such Registration Statement have been sold or are no longer outstanding or no longer constitute Registrable Securities (such period, the “</w:t>
      </w:r>
      <w:r>
        <w:rPr>
          <w:rFonts w:ascii="Times New Roman;Times;Serif" w:hAnsi="Times New Roman;Times;Serif"/>
          <w:b/>
          <w:i/>
          <w:caps w:val="false"/>
          <w:smallCaps w:val="false"/>
          <w:sz w:val="20"/>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are no longer outstanding or no longer constitute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prior to filing a Registration Statement or Prospectus, or any amendment or supplement thereto, furnish without charge to the Underwriters, brokers, distribution agents, or sales agents,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brokers, distribution agents, or sales agents, if any, and the Holders of Registrable Securities included in such Registration or the legal counsel for any such Holders may reasonably request in order to facilitate the disposition of the Registrable Securities owned by such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PubCo will not have any obligation to provide any document pursuant to this clause that is available on the Commission’s EDGAR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prior to any public offering of Registrable Securities,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(b)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PubCo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use its commercially reasonable efforts to cause all such Registrable Securities to be listed on each securities exchange or automated quotation system on which similar securities issued by PubCo are then listed;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or warrant agent, as applicable, and registrar for all such Registrable Securities no later than the effective date of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of the issuance of any stop order by the Commission suspending the effectiveness of such Registration Statement or the initiation or threatening in writing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furnish a copy thereof to each Holder of such Registrable Securities and its counsel (excluding any exhibits thereto and any filing made under the Exchange Act that is to be incorporated by reference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during the Effectiveness Period, furnish a conformed copy of each filing of any Registration Statement or Prospectus or any amendment or supplement to such Registration Statement or Prospectus or any document that is to be incorporated by reference into such Registration Statement or Prospectus, promptly after such filing of such documents with the Commission to each Holder of such Registrable Securities or its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PubCo will not have any obligation to provide any document pursuant to this clause that is available on the Commission’s EDGAR system;</w:t>
      </w:r>
    </w:p>
    <w:p>
      <w:pPr>
        <w:pStyle w:val="TextBody"/>
        <w:bidi w:val="0"/>
        <w:spacing w:before="0" w:after="0"/>
        <w:ind w:left="0" w:right="0" w:firstLine="144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3.1.10 notify the Holders at any time when a Prospectus relating to such Registration Statement is required to be delivered under the Securities Act, subject to the provisions of this Agreement, notify the Holders of the happening of any event as a result of which a Misstatement exists,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3.1.11 permit a representative of the Holders (such representative to be selected by a majority-in-interest of the participating Holders), the Underwriters, or other financial institutions faciliting such offering, if any, and any attorney or accountant retained by such Holders or Underwriters or other financial institutions facilitating such offering to participate, at each such person’s own expense, in the preparation of the Registration Statement or the Prospectus, and cause PubCo’s officers, directors and employees to supply all information reasonably requested by any such representative, Underwriter, or other financial institutions facilitating such offering, attorney or accountant in connection with the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representatives, Underwriters or other financial institutions enter into a confidentiality agreement, in form and substance reasonably satisfactory to PubCo, prior to the release or disclosure of any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PubCo may not include the name of any Holder, Underwriter, or other financial institution that is facilitating or may facilitate an offering, in any Registration Statement or Prospectus, any amendment or supplement to such Registration Statement of Prospectus, any document that is to be incorporated by reference into such Registration Statement or Prospectus, any document that is to be incorporated by reference into such Registration Statement or Prospectus, or any response to any comment letter, without the prior written consent of such Holder, Underwriter, or other financial institution, and providing each such Holder, Underwriter, or other financial institution a reasonable amount of time to review and comment on such applicable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 obtain a “cold comfort” letter (including a bring-down letter dated as of the date the Registrable Securities are delivered for sale pursuant to such Registration) from PubCo’s independent registered public accountants, in the event of an Underwritten Registration, a Block Trade, an Other Coordinated Offering or a sale by a broker, distribution agent or sales agent pursuant to a Registration Statement (subject to such Underwriter or other financial institution facilitating such offering providing such certification or representation as reasonably requested by PubCo’s independent registered public accountings and PubCo’s counsel) in customary form and covering such matters of the type customarily covered by “cold comfort” letters as the managing Underwriter or other similar type of sales agent or distribution agent may reasonably request, and reasonably satisfactory to a majority-in-interest of the participating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on the date the Registrable Securities are delivered for sale pursuant to such Registration, in the event of an Underwritten Registration, a Block Trade, an Other Coordinated Offering or a sale by a broker, distribution agent or sales agent pursuant to a Registration Statement obtain an opinion and negative assurance letter, dated such date, of counsel representing PubCo for the purposes of such Registration, addressed to the participating Holders, the broker, distribution agent or sales agent, if any, and the Underwriters, if any, covering such legal matters with respect to the Registration in respect of which such opinion is being given as the participating Holders, broker, distribution agent, sales agent, or Underwriter may reasonably request and as are customarily included in such opinions and negative assurance letters, provided, in each case, that such participating Holders provide such information to such counsel as is customarily required for, or is reasonably requested by such counsel for purposes of, such opinion or negative assurance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 in the event of any Underwritten Offering, a Block Trade, an Other Coordinated Offering or sale by a broker, distribution agent or sales agent pursuant to a Registration Statement, enter into and perform its obligations under an underwriting agreement, purchase agreement, sales agreement or distribution agreement, in usual and customary form, with the managing Underwriter or broker, sales agent or distribution agent of such offering or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 make available to its security holders, as soon as reasonably practicable, an earnings statement covering the period of at least twelve (12) months beginning with the first day of PubCo’s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full calendar quarter after the effective date of the Registration Statement which satisfies the provisions of Section 11(a) of the Securities Act and Rule 158 thereunder (or any successor rule promulgated thereafter by the Commission);</w:t>
      </w:r>
    </w:p>
    <w:p>
      <w:pPr>
        <w:pStyle w:val="TextBody"/>
        <w:bidi w:val="0"/>
        <w:spacing w:before="0" w:after="0"/>
        <w:ind w:left="0" w:right="0" w:firstLine="144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 with respect to an Underwritten Offering, use its commercially reasonable efforts to make available senior executives of PubCo to participate in customary “road show” presentations that may be reasonably requested by the Underwriter(s) in any Underwritten Offering;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3.1.17 otherwise, in good faith, cooperate with, and take such customary actions as may reasonably be requested by the Holders, in connection with such Registration.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Registration Expenses of all Registrations in the aggregate shall be borne by PubCo.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and documented fees and expenses of any external legal counsel representing the Holders.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Requirements for Participation</w:t>
      </w:r>
      <w:r>
        <w:rPr>
          <w:rFonts w:ascii="Times New Roman;Times;Serif" w:hAnsi="Times New Roman;Times;Serif"/>
          <w:b w:val="false"/>
          <w:i w:val="false"/>
          <w:caps w:val="false"/>
          <w:smallCaps w:val="false"/>
          <w:sz w:val="20"/>
        </w:rPr>
        <w:t xml:space="preserve">. The Holders of Registrable Securities shall provide such information as may reasonably be requested by PubCo, or the managing Underwriter or distribution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in connection with PubCo’s obligation to comply with federal and applicable state securities Laws. Notwithstanding anything in this Agreement to the contrary, if any Holder does not timely provide PubCo with its requested Holder Information, PubCo may exclude such Holder’s Registrable Securities from the applicable Registration Statement or Prospectus if PubCo determines, based on the advice of counsel, that such information is necessary to effect the registration and such Holder continues thereafter to withhold such information. No person may participate in any Underwritten Offering, Block Trade or Other Coordinated Offering for equity securities of PubCo pursuant to a Registration initiated by PubCo hereunder unless such person (i) agrees to sell such person’s securities on the basis provided in any arrangements approved by PubCo and (ii) completes and executes all questionnaires, powers of attorney, indemnities, lock-up agreements, underwriting or other agreements and other documents as may be required under the terms of such arrangements and that are reasonable or otherwise customary. The exclusion of a Holder’s Registrable Securities as a result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affect the registration of the other Registrable Securities to be included in such Registration.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Suspension of Sales; Restrictions on Registration Rights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Agreement, PubCo shall be entitled to postpone the effectiveness of a Registration Statement, and from time to time to require Holders not to sell under a Registration Statement or to suspend the effectiveness thereof, for the shortest period of time determined in good faith by PubCo to be necessary for such purpose, if the Registration Statement or Prospectus (i) contains a Misstatement, or in the opinion of counsel for PubCo it is necessary to supplement or amend such Prospectus to comply with applicable law, (ii) would require the inclusion in such Registration Statement of financial statements that are unavailable to PubCo for reasons beyond PubCo’s control, (iii) in the good faith judgment of a majority of the Board, would be seriously detrimental to PubCo and the Board concludes, as a result, that it is necessary to defer such filing, initial effectiveness, or continued use at such time, (iv) require the Company to make an Adverse Disclosure, or (v) would otherwise render PubCo unable to comply with requirements under the Securities Act or Exchange Act (each,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however, that PubCo may not delay or suspend a Registration Statement on more than two (2) occasions or for more than sixty (60) consecutive calendar days in each case during any 12 month period. Upon notice from PubCo of the occurrence of a Suspension Event, each of the Holders shall forthwith discontinue disposition of Registrable Securities until it has received copies of a supplemented or amended Registration Statement or Prospectus correcting such Suspension Event (it being understood that PubCo hereby covenants to prepare and file such supplement or amendment as soon as reasonably practicable after the time of such notice), or until it is advised in writing by PubCo that the use of the Registration Statement or Prospectus may be resumed. If so directed by PubCo, the Holders will deliver to PubCo or, in Holders’ sole discretion destroy, all copies of each Prospectus covering Registrable Securities in Holders’ possession; provided, however, that this obligation to deliver or destroy shall not apply (i) to the extent the Holders are required to retain a copy of such Prospectus (A) to comply with applicable legal, regulatory, self-regulatory or professional requirements or (B) in accordance with a bona fide pre-existing document retention policy or (ii) to copies stored electronically on archival servers as a result of automatic data backup.</w:t>
      </w:r>
    </w:p>
    <w:p>
      <w:pPr>
        <w:pStyle w:val="TextBody"/>
        <w:bidi w:val="0"/>
        <w:spacing w:before="0" w:after="0"/>
        <w:ind w:left="720" w:right="0" w:firstLine="72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during the period starting with the date sixty (60) days prior to PubCo’s good faith estimate of the date of the filing of, and ending on a date one hundred and twenty (120) days after the effective date of, a PubCo-initiated Registration and provided that PubCo has delivered written notice to the Holders prior to receipt of a Demand Registration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it continues to actively employ, in good faith, all reasonable efforts to cause the applicable Registration Statement to become effective; or (b) the Holders have requested an Underwritten Registration and PubCo and the Holders are unable to obtain the commitment of underwriters to firmly underwrite the offer, then in each case upon prompt written notice of such action to the Holders, PubCo shall have the right to defer such filing for a period of not more than thirty (30)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PubCo shall not defer its obligation in this manner more than once in any 12-month period.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As long as any Holder shall own Registrable Securities, PubCo, at all times while it shall be a reporting company under the Exchange Act, covenants to file timely (or obtain extensions in respect thereof and file within the applicable grace period) all reports required to be filed by PubCo after the date hereof pursuant to Sections 13(a) or 15(d) of the Exchange Act. PubCo further covenants that it shall take such further action as any Holder may reasonably request, all to the extent required from time to time to enable such Holder to sell PubCo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PubCo), including providing any customary legal opinions. Upon the request of any Holder, PubCo shall deliver to such Holder a written certification of a duly authorized officer as to whether it has complied with such requirements.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Restrictive Legend Removal</w:t>
      </w:r>
      <w:r>
        <w:rPr>
          <w:rFonts w:ascii="Times New Roman;Times;Serif" w:hAnsi="Times New Roman;Times;Serif"/>
          <w:b w:val="false"/>
          <w:i w:val="false"/>
          <w:caps w:val="false"/>
          <w:smallCaps w:val="false"/>
          <w:sz w:val="20"/>
        </w:rPr>
        <w:t xml:space="preserve">. In connection with a Registration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or any sale or other disposition of the Registrable Securities by a Holder pursuant to Rule 144 promulgated under the Securities Act (or any successor rule promulgated thereafter by the Commission) upon the request of a Holder, PubCo shall (i) authorize PubCo’s transfer agent to remove any legend on share certificates of such Holder’s Registrable Securities restricting further transfer (or any similar restriction in book entry positions of such Holder), and cause PubCo’s counsel to issue an opinion to PubCo’s transfer agent in connection therewith, if such restrictions are no longer required by the Securities Act or any applicable state securities laws or any agreement with PubCo to which such Holder is a party, (ii) request PubCo’s transfer agent to issue in lieu thereof securities without such restrictions to the Holder upon, as applicable, surrender of any certificates or to update the applicable book entry position of such Holder so that it no longer is subject to such a restriction, and (iii) use its commercially reasonable efforts to cooperate with such Holder to have such Holder’s Registrable Securities transferred into a book entry position at The Depository Trust Company, in each case, subject to delivery of customer documentation, including any documentation required by such restrictive legend or book entry notation.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 AND CONTRIBUTION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PubCo agrees to indemnify, to the extent permitted by law, each Holder of Registrable Securities, its officers, directors, employees, advisors, agents, representatives and each person who controls (within the meaning of the Securities Act) such Holder against all losses, claims, damages, liabilities and expenses (including reasonable and documented external attorneys’ fees) caused by any Misstatement, except insofar as the same are arising out of, based on or contained in any information furnished in writing to PubCo by such Holder expressly for use therein. PubCo shall indemnify the Underwriters, their officers and directors and each person who controls (within the meaning of the Securities Act) such Underwriters to the same extent as provided in the foregoing with respect to the indemnification of the Holders.</w:t>
      </w:r>
    </w:p>
    <w:p>
      <w:pPr>
        <w:pStyle w:val="TextBody"/>
        <w:bidi w:val="0"/>
        <w:spacing w:before="0" w:after="0"/>
        <w:ind w:left="0" w:right="0" w:firstLine="144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(the “</w:t>
      </w:r>
      <w:r>
        <w:rPr>
          <w:rFonts w:ascii="Times New Roman;Times;Serif" w:hAnsi="Times New Roman;Times;Serif"/>
          <w:b/>
          <w:i/>
          <w:caps w:val="false"/>
          <w:smallCaps w:val="false"/>
          <w:sz w:val="20"/>
        </w:rPr>
        <w:t>Holder Information</w:t>
      </w:r>
      <w:r>
        <w:rPr>
          <w:rFonts w:ascii="Times New Roman;Times;Serif" w:hAnsi="Times New Roman;Times;Serif"/>
          <w:b w:val="false"/>
          <w:i w:val="false"/>
          <w:caps w:val="false"/>
          <w:smallCaps w:val="false"/>
          <w:sz w:val="20"/>
        </w:rPr>
        <w:t xml:space="preserve">”) and, to the extent permitted by law, shall indemnify PubCo, its directors, officers, employees, advisors, representatives and agents and each person who controls (within the meaning of the Securities Act) PubCo against any losses, claims, damages, liabilities and expenses (including without limitation reasonable and documented external attorneys’ fees) caused by any Misstatement to the extent contained in any information or affidavit so furnished in writing by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PubCo.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one local counsel if necessary in the reasonable judgment of the indemnified party)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Holder of Registrable Securities participating in an offering also agrees to make such provisions as are reasonably requested by any indemnified party for contribution to such party in the event PubCo’s or such Holder’s indemnification is unavailable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be several, not joint and several, and shall be limited to the amount of the net proceeds received by such Holder in such offering giving rise to such liability except in the case of fraud or willful misconduct by such Holder.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from any person who was not guilty of such fraudulent misrepresentation. Notwithstanding the foregoing, the indemnity agreement contained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apply to amounts paid in settlement of any such claim or proceeding if such settlement is effected without the consent of PubCo, which consent shall not be unreasonably withheld, conditioned, or delayed.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Waiver of Medallion Guaranty</w:t>
      </w:r>
      <w:r>
        <w:rPr>
          <w:rFonts w:ascii="Times New Roman;Times;Serif" w:hAnsi="Times New Roman;Times;Serif"/>
          <w:b w:val="false"/>
          <w:i w:val="false"/>
          <w:caps w:val="false"/>
          <w:smallCaps w:val="false"/>
          <w:sz w:val="20"/>
        </w:rPr>
        <w:t xml:space="preserve">. PubCo agrees to use commercially reasonable efforts to enter into that certain indemnification agreement, substantially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 in favor of Continental Stock Transfer &amp; Trust Company (or any successor transfer agent or warrant agent of PubCo) in connection with the waiver of any requirement to provide a medallion guarantee in connection with any transfer of any PubCo Ordinary Shares or other equity securities of PubCo by any Sponsor Holder, PIPE Holder, or any of their Permitted Transferees; provided that, in each case, as a prerequisite to PubCo’s entry into such indemnification agreement, such Sponsor Holder, PIPE Holder or Permitted Transferee enters into an indemnification agreement in favor of the Company, substantially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or waivers and other communications required or permitted to be given hereunder or which are given with respect to this Agreement shall be in writing and shall be given (and shall be deemed to have been duly given upon receipt) by delivery (a) in person, (b) by e-mail (having obtained electronic delivery confirmation thereof), (c) by reputable, nationally recognized overnight courier service providing evidence of delivery, or (d) by registered or certified mail, pre-paid and return receipt requested. Each notice or communication that is mailed, delivered or transmitted in the manner described above shall be deemed sufficiently given, served, sent, and received, in the case of mailed notices, on the second (2nd) business day following the date on which it is mailed, in the case of notices delivered by courier service, hand delivery or overnight mail, at such time as it is delivered to the addressee (with the delivery receipt or the affidavit of messenger) or at such time as delivery is refused by the addressee upon presentation, and in the case of notices delivered by email, at such time as it is successfully transmitted to the addressee. Any notice or communication under this Agreement must be addressed to the applicable party at their respective addresses set forth in Schedule A 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Assignment; No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This Agreement and the rights, duties and obligations of PubCo hereunder may not be assigned or delegated by PubCo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This Agreement and the rights, duties and obligations of the Holders hereunder may not be assigned or delegated by the Holders in whole or in part; provided, however, that, subject to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 a Holder may assign the rights and obligations of such Holder hereunder relating to particular Registrable Securities in connection with the transfer of such Registrable Securities to a Permitted Transferee of such Holder (it being understood that no such transfer shall reduce any rights of the Holder with respect to Registrable Securities still held by such Holder). A Permitted Transferee receiving Registrable Securities from a Sponsor Holder shall become a Sponsor Holder, a Permitted Transferee receiving Registrable Securities from a Legacy Company Holder shall become a Legacy Company Holder, and a Permitted Transferee receiving Registrable Securities from a PIPE Holder shall become a PIPE Holder; provided that, as a precondition to such transfer, such Permitted Transferee enters into a written agreement with Pubco agreeing to be bound by the terms and conditions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This Agreement and the provisions hereof shall be binding upon and shall inure to the benefit of each of the parties and its successors and the permitted assigns of the Holders, which shall include Permitted Transferees.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5.2.4 This Agreement shall not confer any rights or benefits on any persons that are not parties hereto, other than as expressly set forth in this Agreement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 No assignment by any party hereto of such party’s rights, duties and obligations hereunder shall be binding upon or obligate PubCo unless and until PubCo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hereof and (ii) the written agreement of the assignee, in a form reasonably satisfactory to PubCo, to be bound by the terms and provisions of this Agreement (which may be accomplished by an addendum or certificate of joinder to this Agreement).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center"/>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facsimile or PDF counterparts), each of which shall be deemed an original, and all of which together shall constitute the same instrument, but only one of which need be produced. Delivery of a signed counterpart of this Agreement by facsimile or electronic transmission shall constitute valid and sufficient delivery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all agreements entered into pursuant hereto and all certificates and instruments delivered pursuant hereto and thereto) and the Business Combination Agreement constitute the entire agreement of the parties with respect to the subject matter hereof and supersede all prior and contemporaneous agreements, representations, understandings, negotiations and discussions between the parties, whether oral or written. Without limiting the generality of the foregoing, SPAC and Sponsor hereby agree that the Prior Agreement is hereby terminated without giving effect to the terms providing for the survival of certain provisions thereof as set forth in Section 5.10 (Term) of the Prior Agreement and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The parties (a) hereby irrevocably and unconditionally submit to the jurisdiction of the Supreme Court of the State of New York, New York County and to the jurisdiction of the United States District Court for the Southern District of New York for the purpose of any suit, action or other proceeding arising out of or based upon this Agreement, (b) agree not to commence any suit, action or other proceeding arising out of or based upon this Agreement except in the above-named courts,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HOLDERS IN THE NEGOTIATION, ADMINISTRATION, PERFORMANCE OR ENFORCEMENT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Amendments and Modifications</w:t>
      </w:r>
      <w:r>
        <w:rPr>
          <w:rFonts w:ascii="Times New Roman;Times;Serif" w:hAnsi="Times New Roman;Times;Serif"/>
          <w:b w:val="false"/>
          <w:i w:val="false"/>
          <w:caps w:val="false"/>
          <w:smallCaps w:val="false"/>
          <w:sz w:val="20"/>
        </w:rPr>
        <w:t xml:space="preserve">. Upon the written consent of PubCo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the foregoing, any amendment hereto or waiver hereof that adversely effects the Sponsor Holders shall also require the written consent of the Sponsor Majority Holders so long as the Sponsor Holders and their respective affiliates hold, in the aggregate, at least one percent (1%) of the outstanding PubCo Ordinary Shares of the Company;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the foregoing, any amendment hereto or waiver hereof that adversely affects one Holder, solely in his, her or its capacity as a holder of the shares of PubCo, in a manner that is materially different from the other Holders (in such capacity) shall require the consent of the Holder so affected;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consent of any holder of piggyback registration rights shall be required with respect to any such waiver, amendment or modification, except with respect to any waiver, amendment or modification that adversely affects such holder of Piggyback Registration rights, solely in its capacity as a holder of Registrable Securities, in a manner that is materially different from the other Holders (in such capacity). No course of dealing between any Holder or PubCo and any other party hereto or any failure or delay on the part of a Holder or PubCo in exercising any rights or remedies under this Agreement shall operate as a waiver of any rights or remedies of any Holder or PubCo. No single or partial exercise of any rights or remedies under this Agreement by a party shall operate as a waiver or preclude the exercise of any other rights or remedies hereunder or thereunder by such party. Any amendment, termination, or waiver effected in accordance with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be binding on each party hereto and all of such party’s successors and permitted assigns, regardless of whether or not any such party, successor or assignee entered into or approved such amendment, termination, or waiver.</w:t>
      </w:r>
    </w:p>
    <w:p>
      <w:pPr>
        <w:pStyle w:val="TextBody"/>
        <w:bidi w:val="0"/>
        <w:spacing w:before="0" w:after="0"/>
        <w:ind w:left="0" w:right="0" w:firstLine="72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Other Registration Rights</w:t>
      </w:r>
      <w:r>
        <w:rPr>
          <w:rFonts w:ascii="Times New Roman;Times;Serif" w:hAnsi="Times New Roman;Times;Serif"/>
          <w:b w:val="false"/>
          <w:i w:val="false"/>
          <w:caps w:val="false"/>
          <w:smallCaps w:val="false"/>
          <w:sz w:val="20"/>
        </w:rPr>
        <w:t>. PubCo represents and warrants that no person, other than a holder of (i) Registrable Securities or (ii) securities of PubCo that are registrable pursuant to the Future PIPE Agreements, has any right to require PubCo to register any securities of PubCo for sale or to include such securities of PubCo in any Registration by PubCo for the sale of securities for its own account or for the account of any other person. Further, PubCo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Scope of the Holders’ Obligations</w:t>
      </w:r>
      <w:r>
        <w:rPr>
          <w:rFonts w:ascii="Times New Roman;Times;Serif" w:hAnsi="Times New Roman;Times;Serif"/>
          <w:b w:val="false"/>
          <w:i w:val="false"/>
          <w:caps w:val="false"/>
          <w:smallCaps w:val="false"/>
          <w:sz w:val="20"/>
        </w:rPr>
        <w:t>. In this Agreement, (a) any obligation, covenant, representation or warranty, indemnity, liability or other requirement provided by or in respect of any Holder shall be on a several basis (not jointly and not jointly and severally) as to such Holder and only pertain to it, (b) each Holder shall be liable for its own breaches and (c) no party hereto shall be entitled to recover more than once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“double recovery”) for the same loss or losses even in the event of breaches by multiple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shall terminate upon the earlier of (a)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of this Agreement and (b) the date as of which no Registrable Securities remain outstanding. The provisions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any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have caused this Agreement to be executed as of the date first written above.</w:t>
      </w:r>
    </w:p>
    <w:p>
      <w:pPr>
        <w:pStyle w:val="TextBody"/>
        <w:bidi w:val="0"/>
        <w:spacing w:before="0" w:after="0"/>
        <w:ind w:left="5040" w:right="0" w:hanging="0"/>
        <w:jc w:val="left"/>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75"/>
        <w:gridCol w:w="691"/>
        <w:gridCol w:w="2478"/>
      </w:tblGrid>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b/>
                <w:sz w:val="20"/>
              </w:rPr>
            </w:pPr>
            <w:r>
              <w:rPr>
                <w:b/>
                <w:sz w:val="20"/>
              </w:rPr>
              <w:t>PUBCO:</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b/>
                <w:sz w:val="20"/>
              </w:rPr>
            </w:pPr>
            <w:r>
              <w:rPr>
                <w:b/>
                <w:sz w:val="20"/>
              </w:rPr>
              <w:t>AIR WATER VENTURES LIMITED</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24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20"/>
              </w:rPr>
            </w:pPr>
            <w:r>
              <w:rPr>
                <w:sz w:val="20"/>
              </w:rPr>
              <w:t>By:</w:t>
            </w:r>
          </w:p>
        </w:tc>
        <w:tc>
          <w:tcPr>
            <w:tcW w:w="247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Peter Carr</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20"/>
              </w:rPr>
            </w:pPr>
            <w:r>
              <w:rPr>
                <w:sz w:val="20"/>
              </w:rPr>
              <w:t>Name:</w:t>
            </w:r>
          </w:p>
        </w:tc>
        <w:tc>
          <w:tcPr>
            <w:tcW w:w="2478" w:type="dxa"/>
            <w:tcBorders/>
            <w:vAlign w:val="center"/>
          </w:tcPr>
          <w:p>
            <w:pPr>
              <w:pStyle w:val="TableContents"/>
              <w:bidi w:val="0"/>
              <w:spacing w:before="0" w:after="283"/>
              <w:jc w:val="left"/>
              <w:rPr>
                <w:sz w:val="20"/>
              </w:rPr>
            </w:pPr>
            <w:r>
              <w:rPr>
                <w:sz w:val="20"/>
              </w:rPr>
              <w:t>Peter Carr</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20"/>
              </w:rPr>
            </w:pPr>
            <w:r>
              <w:rPr>
                <w:sz w:val="20"/>
              </w:rPr>
              <w:t>Title:</w:t>
            </w:r>
          </w:p>
        </w:tc>
        <w:tc>
          <w:tcPr>
            <w:tcW w:w="2478"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799" w:type="dxa"/>
        <w:jc w:val="left"/>
        <w:tblInd w:w="0" w:type="dxa"/>
        <w:tblLayout w:type="fixed"/>
        <w:tblCellMar>
          <w:top w:w="0" w:type="dxa"/>
          <w:left w:w="0" w:type="dxa"/>
          <w:bottom w:w="0" w:type="dxa"/>
          <w:right w:w="0" w:type="dxa"/>
        </w:tblCellMar>
      </w:tblPr>
      <w:tblGrid>
        <w:gridCol w:w="75"/>
        <w:gridCol w:w="976"/>
        <w:gridCol w:w="2748"/>
      </w:tblGrid>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b/>
                <w:sz w:val="20"/>
              </w:rPr>
            </w:pPr>
            <w:r>
              <w:rPr>
                <w:b/>
                <w:sz w:val="20"/>
              </w:rPr>
              <w:t>SPONSOR:</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b/>
                <w:caps/>
                <w:sz w:val="20"/>
              </w:rPr>
            </w:pPr>
            <w:r>
              <w:rPr>
                <w:b/>
                <w:caps/>
                <w:sz w:val="20"/>
              </w:rPr>
              <w:t>INFLECTION POINT HOLDINGS III LLC</w:t>
            </w:r>
          </w:p>
        </w:tc>
      </w:tr>
      <w:tr>
        <w:trPr/>
        <w:tc>
          <w:tcPr>
            <w:tcW w:w="75"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27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sz w:val="20"/>
              </w:rPr>
            </w:pPr>
            <w:r>
              <w:rPr>
                <w:sz w:val="20"/>
              </w:rPr>
              <w:t>By:</w:t>
            </w:r>
          </w:p>
        </w:tc>
        <w:tc>
          <w:tcPr>
            <w:tcW w:w="274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Kevin Shannon</w:t>
            </w:r>
          </w:p>
        </w:tc>
      </w:tr>
      <w:tr>
        <w:trPr/>
        <w:tc>
          <w:tcPr>
            <w:tcW w:w="75"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sz w:val="20"/>
              </w:rPr>
            </w:pPr>
            <w:r>
              <w:rPr>
                <w:sz w:val="20"/>
              </w:rPr>
              <w:t>Name:</w:t>
            </w:r>
          </w:p>
        </w:tc>
        <w:tc>
          <w:tcPr>
            <w:tcW w:w="2748" w:type="dxa"/>
            <w:tcBorders/>
            <w:vAlign w:val="center"/>
          </w:tcPr>
          <w:p>
            <w:pPr>
              <w:pStyle w:val="TableContents"/>
              <w:bidi w:val="0"/>
              <w:spacing w:before="0" w:after="283"/>
              <w:jc w:val="left"/>
              <w:rPr>
                <w:sz w:val="20"/>
              </w:rPr>
            </w:pPr>
            <w:r>
              <w:rPr>
                <w:sz w:val="20"/>
              </w:rPr>
              <w:t>Kevin Shannon</w:t>
            </w:r>
          </w:p>
        </w:tc>
      </w:tr>
      <w:tr>
        <w:trPr/>
        <w:tc>
          <w:tcPr>
            <w:tcW w:w="75"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sz w:val="20"/>
              </w:rPr>
            </w:pPr>
            <w:r>
              <w:rPr>
                <w:sz w:val="20"/>
              </w:rPr>
              <w:t>Title:</w:t>
            </w:r>
          </w:p>
        </w:tc>
        <w:tc>
          <w:tcPr>
            <w:tcW w:w="2748" w:type="dxa"/>
            <w:tcBorders/>
            <w:vAlign w:val="center"/>
          </w:tcPr>
          <w:p>
            <w:pPr>
              <w:pStyle w:val="TableContents"/>
              <w:bidi w:val="0"/>
              <w:spacing w:before="0" w:after="283"/>
              <w:jc w:val="left"/>
              <w:rPr>
                <w:sz w:val="20"/>
              </w:rPr>
            </w:pPr>
            <w:r>
              <w:rPr>
                <w:sz w:val="20"/>
              </w:rPr>
              <w:t>Portfolio Manager</w:t>
            </w:r>
          </w:p>
        </w:tc>
      </w:tr>
    </w:tbl>
    <w:p>
      <w:pPr>
        <w:pStyle w:val="TextBody"/>
        <w:bidi w:val="0"/>
        <w:spacing w:before="0" w:after="0"/>
        <w:ind w:left="504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915"/>
        <w:gridCol w:w="3259"/>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sz w:val="20"/>
              </w:rPr>
            </w:pPr>
            <w:r>
              <w:rPr>
                <w:b/>
                <w:sz w:val="20"/>
              </w:rPr>
              <w:t>SPAC:</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sz w:val="20"/>
              </w:rPr>
            </w:pPr>
            <w:r>
              <w:rPr>
                <w:b/>
                <w:sz w:val="20"/>
              </w:rPr>
              <w:t>INFLECTION POINT ACQUISITION CORP. III</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 </w:t>
            </w:r>
          </w:p>
        </w:tc>
        <w:tc>
          <w:tcPr>
            <w:tcW w:w="32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sz w:val="20"/>
              </w:rPr>
            </w:pPr>
            <w:r>
              <w:rPr>
                <w:sz w:val="20"/>
              </w:rPr>
              <w:t>By:</w:t>
            </w:r>
          </w:p>
        </w:tc>
        <w:tc>
          <w:tcPr>
            <w:tcW w:w="325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Kevin Shannon</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sz w:val="20"/>
              </w:rPr>
            </w:pPr>
            <w:r>
              <w:rPr>
                <w:sz w:val="20"/>
              </w:rPr>
              <w:t>Name:</w:t>
            </w:r>
          </w:p>
        </w:tc>
        <w:tc>
          <w:tcPr>
            <w:tcW w:w="3259" w:type="dxa"/>
            <w:tcBorders/>
            <w:vAlign w:val="center"/>
          </w:tcPr>
          <w:p>
            <w:pPr>
              <w:pStyle w:val="TableContents"/>
              <w:bidi w:val="0"/>
              <w:spacing w:before="0" w:after="283"/>
              <w:jc w:val="left"/>
              <w:rPr>
                <w:sz w:val="20"/>
              </w:rPr>
            </w:pPr>
            <w:r>
              <w:rPr>
                <w:sz w:val="20"/>
              </w:rPr>
              <w:t>Kevin Shannon</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sz w:val="20"/>
              </w:rPr>
            </w:pPr>
            <w:r>
              <w:rPr>
                <w:sz w:val="20"/>
              </w:rPr>
              <w:t>Title:</w:t>
            </w:r>
          </w:p>
        </w:tc>
        <w:tc>
          <w:tcPr>
            <w:tcW w:w="3259" w:type="dxa"/>
            <w:tcBorders/>
            <w:vAlign w:val="center"/>
          </w:tcPr>
          <w:p>
            <w:pPr>
              <w:pStyle w:val="TableContents"/>
              <w:bidi w:val="0"/>
              <w:spacing w:before="0" w:after="283"/>
              <w:jc w:val="left"/>
              <w:rPr>
                <w:sz w:val="20"/>
              </w:rPr>
            </w:pPr>
            <w:r>
              <w:rPr>
                <w:sz w:val="20"/>
              </w:rPr>
              <w:t>Chief Operating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917"/>
        <w:gridCol w:w="2027"/>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20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sz w:val="20"/>
              </w:rPr>
            </w:pPr>
            <w:r>
              <w:rPr>
                <w:sz w:val="20"/>
              </w:rPr>
              <w:t>By:</w:t>
            </w:r>
          </w:p>
        </w:tc>
        <w:tc>
          <w:tcPr>
            <w:tcW w:w="202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Dave Cupit</w:t>
            </w:r>
          </w:p>
        </w:tc>
      </w:tr>
      <w:tr>
        <w:trPr/>
        <w:tc>
          <w:tcPr>
            <w:tcW w:w="75"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sz w:val="20"/>
              </w:rPr>
            </w:pPr>
            <w:r>
              <w:rPr>
                <w:sz w:val="20"/>
              </w:rPr>
              <w:t>Name:</w:t>
            </w:r>
          </w:p>
        </w:tc>
        <w:tc>
          <w:tcPr>
            <w:tcW w:w="2027" w:type="dxa"/>
            <w:tcBorders/>
            <w:vAlign w:val="center"/>
          </w:tcPr>
          <w:p>
            <w:pPr>
              <w:pStyle w:val="TableContents"/>
              <w:bidi w:val="0"/>
              <w:spacing w:before="0" w:after="283"/>
              <w:jc w:val="left"/>
              <w:rPr>
                <w:sz w:val="20"/>
              </w:rPr>
            </w:pPr>
            <w:r>
              <w:rPr>
                <w:sz w:val="20"/>
              </w:rPr>
              <w:t>Dave Cupit</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592"/>
        <w:gridCol w:w="2352"/>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23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sz w:val="20"/>
              </w:rPr>
            </w:pPr>
            <w:r>
              <w:rPr>
                <w:sz w:val="20"/>
              </w:rPr>
              <w:t>By:</w:t>
            </w:r>
          </w:p>
        </w:tc>
        <w:tc>
          <w:tcPr>
            <w:tcW w:w="235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Mohammed Al Faheem</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sz w:val="20"/>
              </w:rPr>
            </w:pPr>
            <w:r>
              <w:rPr>
                <w:sz w:val="20"/>
              </w:rPr>
              <w:t>Name:</w:t>
            </w:r>
          </w:p>
        </w:tc>
        <w:tc>
          <w:tcPr>
            <w:tcW w:w="2352" w:type="dxa"/>
            <w:tcBorders/>
            <w:vAlign w:val="center"/>
          </w:tcPr>
          <w:p>
            <w:pPr>
              <w:pStyle w:val="TableContents"/>
              <w:bidi w:val="0"/>
              <w:spacing w:before="0" w:after="283"/>
              <w:jc w:val="left"/>
              <w:rPr>
                <w:sz w:val="20"/>
              </w:rPr>
            </w:pPr>
            <w:r>
              <w:rPr>
                <w:sz w:val="20"/>
              </w:rPr>
              <w:t>Mohammed Al Faheem</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750"/>
        <w:gridCol w:w="2194"/>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2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sz w:val="20"/>
              </w:rPr>
            </w:pPr>
            <w:r>
              <w:rPr>
                <w:sz w:val="20"/>
              </w:rPr>
              <w:t>By:</w:t>
            </w:r>
          </w:p>
        </w:tc>
        <w:tc>
          <w:tcPr>
            <w:tcW w:w="219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Bert Miller</w:t>
            </w:r>
          </w:p>
        </w:tc>
      </w:tr>
      <w:tr>
        <w:trPr/>
        <w:tc>
          <w:tcPr>
            <w:tcW w:w="7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sz w:val="20"/>
              </w:rPr>
            </w:pPr>
            <w:r>
              <w:rPr>
                <w:sz w:val="20"/>
              </w:rPr>
              <w:t>Name:</w:t>
            </w:r>
          </w:p>
        </w:tc>
        <w:tc>
          <w:tcPr>
            <w:tcW w:w="2194" w:type="dxa"/>
            <w:tcBorders/>
            <w:vAlign w:val="center"/>
          </w:tcPr>
          <w:p>
            <w:pPr>
              <w:pStyle w:val="TableContents"/>
              <w:bidi w:val="0"/>
              <w:spacing w:before="0" w:after="283"/>
              <w:jc w:val="left"/>
              <w:rPr>
                <w:sz w:val="20"/>
              </w:rPr>
            </w:pPr>
            <w:r>
              <w:rPr>
                <w:sz w:val="20"/>
              </w:rPr>
              <w:t>Bert Eugene Miller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905"/>
        <w:gridCol w:w="2324"/>
      </w:tblGrid>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b/>
                <w:sz w:val="20"/>
              </w:rPr>
            </w:pPr>
            <w:r>
              <w:rPr>
                <w:b/>
                <w:sz w:val="20"/>
              </w:rPr>
              <w:t xml:space="preserve">The Bert E Miller 2023 Family Trust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3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By:</w:t>
            </w:r>
          </w:p>
        </w:tc>
        <w:tc>
          <w:tcPr>
            <w:tcW w:w="232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Bitar</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Name:</w:t>
            </w:r>
          </w:p>
        </w:tc>
        <w:tc>
          <w:tcPr>
            <w:tcW w:w="2324" w:type="dxa"/>
            <w:tcBorders/>
            <w:vAlign w:val="center"/>
          </w:tcPr>
          <w:p>
            <w:pPr>
              <w:pStyle w:val="TableContents"/>
              <w:bidi w:val="0"/>
              <w:spacing w:before="0" w:after="283"/>
              <w:jc w:val="left"/>
              <w:rPr>
                <w:sz w:val="20"/>
              </w:rPr>
            </w:pPr>
            <w:r>
              <w:rPr>
                <w:sz w:val="20"/>
              </w:rPr>
              <w:t>Michael Bitar</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Title:</w:t>
            </w:r>
          </w:p>
        </w:tc>
        <w:tc>
          <w:tcPr>
            <w:tcW w:w="2324" w:type="dxa"/>
            <w:tcBorders/>
            <w:vAlign w:val="center"/>
          </w:tcPr>
          <w:p>
            <w:pPr>
              <w:pStyle w:val="TableContents"/>
              <w:bidi w:val="0"/>
              <w:spacing w:before="0" w:after="283"/>
              <w:jc w:val="left"/>
              <w:rPr>
                <w:sz w:val="20"/>
              </w:rPr>
            </w:pPr>
            <w:r>
              <w:rPr>
                <w:sz w:val="20"/>
              </w:rPr>
              <w:t>Trustee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825"/>
        <w:gridCol w:w="2119"/>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sz w:val="20"/>
              </w:rPr>
            </w:pPr>
            <w:r>
              <w:rPr>
                <w:sz w:val="20"/>
              </w:rPr>
              <w:t>By:</w:t>
            </w:r>
          </w:p>
        </w:tc>
        <w:tc>
          <w:tcPr>
            <w:tcW w:w="211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Bitar</w:t>
            </w:r>
          </w:p>
        </w:tc>
      </w:tr>
      <w:tr>
        <w:trPr/>
        <w:tc>
          <w:tcPr>
            <w:tcW w:w="7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sz w:val="20"/>
              </w:rPr>
            </w:pPr>
            <w:r>
              <w:rPr>
                <w:sz w:val="20"/>
              </w:rPr>
              <w:t>Name:</w:t>
            </w:r>
          </w:p>
        </w:tc>
        <w:tc>
          <w:tcPr>
            <w:tcW w:w="2119" w:type="dxa"/>
            <w:tcBorders/>
            <w:vAlign w:val="center"/>
          </w:tcPr>
          <w:p>
            <w:pPr>
              <w:pStyle w:val="TableContents"/>
              <w:bidi w:val="0"/>
              <w:spacing w:before="0" w:after="283"/>
              <w:jc w:val="left"/>
              <w:rPr>
                <w:sz w:val="20"/>
              </w:rPr>
            </w:pPr>
            <w:r>
              <w:rPr>
                <w:sz w:val="20"/>
              </w:rPr>
              <w:t>Michael Bitar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806"/>
        <w:gridCol w:w="2138"/>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sz w:val="20"/>
              </w:rPr>
            </w:pPr>
            <w:r>
              <w:rPr>
                <w:sz w:val="20"/>
              </w:rPr>
              <w:t>By:</w:t>
            </w:r>
          </w:p>
        </w:tc>
        <w:tc>
          <w:tcPr>
            <w:tcW w:w="213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Matthew Hurn</w:t>
            </w:r>
          </w:p>
        </w:tc>
      </w:tr>
      <w:tr>
        <w:trPr/>
        <w:tc>
          <w:tcPr>
            <w:tcW w:w="75"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sz w:val="20"/>
              </w:rPr>
            </w:pPr>
            <w:r>
              <w:rPr>
                <w:sz w:val="20"/>
              </w:rPr>
              <w:t>Name:</w:t>
            </w:r>
          </w:p>
        </w:tc>
        <w:tc>
          <w:tcPr>
            <w:tcW w:w="2138" w:type="dxa"/>
            <w:tcBorders/>
            <w:vAlign w:val="center"/>
          </w:tcPr>
          <w:p>
            <w:pPr>
              <w:pStyle w:val="TableContents"/>
              <w:bidi w:val="0"/>
              <w:spacing w:before="0" w:after="283"/>
              <w:jc w:val="left"/>
              <w:rPr>
                <w:sz w:val="20"/>
              </w:rPr>
            </w:pPr>
            <w:r>
              <w:rPr>
                <w:sz w:val="20"/>
              </w:rPr>
              <w:t>Matthew Hurn</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1032"/>
        <w:gridCol w:w="1912"/>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19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20"/>
              </w:rPr>
            </w:pPr>
            <w:r>
              <w:rPr>
                <w:sz w:val="20"/>
              </w:rPr>
              <w:t>By:</w:t>
            </w:r>
          </w:p>
        </w:tc>
        <w:tc>
          <w:tcPr>
            <w:tcW w:w="191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Pete Carr</w:t>
            </w:r>
          </w:p>
        </w:tc>
      </w:tr>
      <w:tr>
        <w:trPr/>
        <w:tc>
          <w:tcPr>
            <w:tcW w:w="75"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20"/>
              </w:rPr>
            </w:pPr>
            <w:r>
              <w:rPr>
                <w:sz w:val="20"/>
              </w:rPr>
              <w:t>Name:</w:t>
            </w:r>
          </w:p>
        </w:tc>
        <w:tc>
          <w:tcPr>
            <w:tcW w:w="1912" w:type="dxa"/>
            <w:tcBorders/>
            <w:vAlign w:val="center"/>
          </w:tcPr>
          <w:p>
            <w:pPr>
              <w:pStyle w:val="TableContents"/>
              <w:bidi w:val="0"/>
              <w:spacing w:before="0" w:after="283"/>
              <w:jc w:val="left"/>
              <w:rPr>
                <w:sz w:val="20"/>
              </w:rPr>
            </w:pPr>
            <w:r>
              <w:rPr>
                <w:sz w:val="20"/>
              </w:rPr>
              <w:t>Pete Carr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744"/>
        <w:gridCol w:w="2200"/>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sz w:val="20"/>
              </w:rPr>
            </w:pPr>
            <w:r>
              <w:rPr>
                <w:sz w:val="20"/>
              </w:rPr>
              <w:t>By:</w:t>
            </w:r>
          </w:p>
        </w:tc>
        <w:tc>
          <w:tcPr>
            <w:tcW w:w="220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Marlene Gordon</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sz w:val="20"/>
              </w:rPr>
            </w:pPr>
            <w:r>
              <w:rPr>
                <w:sz w:val="20"/>
              </w:rPr>
              <w:t>Name:</w:t>
            </w:r>
          </w:p>
        </w:tc>
        <w:tc>
          <w:tcPr>
            <w:tcW w:w="2200" w:type="dxa"/>
            <w:tcBorders/>
            <w:vAlign w:val="center"/>
          </w:tcPr>
          <w:p>
            <w:pPr>
              <w:pStyle w:val="TableContents"/>
              <w:bidi w:val="0"/>
              <w:spacing w:before="0" w:after="283"/>
              <w:jc w:val="left"/>
              <w:rPr>
                <w:sz w:val="20"/>
              </w:rPr>
            </w:pPr>
            <w:r>
              <w:rPr>
                <w:sz w:val="20"/>
              </w:rPr>
              <w:t>Marlene Gordon</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825"/>
        <w:gridCol w:w="2119"/>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sz w:val="20"/>
              </w:rPr>
            </w:pPr>
            <w:r>
              <w:rPr>
                <w:sz w:val="20"/>
              </w:rPr>
              <w:t>By:</w:t>
            </w:r>
          </w:p>
        </w:tc>
        <w:tc>
          <w:tcPr>
            <w:tcW w:w="211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Mark Vickery</w:t>
            </w:r>
          </w:p>
        </w:tc>
      </w:tr>
      <w:tr>
        <w:trPr/>
        <w:tc>
          <w:tcPr>
            <w:tcW w:w="7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sz w:val="20"/>
              </w:rPr>
            </w:pPr>
            <w:r>
              <w:rPr>
                <w:sz w:val="20"/>
              </w:rPr>
              <w:t>Name:</w:t>
            </w:r>
          </w:p>
        </w:tc>
        <w:tc>
          <w:tcPr>
            <w:tcW w:w="2119" w:type="dxa"/>
            <w:tcBorders/>
            <w:vAlign w:val="center"/>
          </w:tcPr>
          <w:p>
            <w:pPr>
              <w:pStyle w:val="TableContents"/>
              <w:bidi w:val="0"/>
              <w:spacing w:before="0" w:after="283"/>
              <w:jc w:val="left"/>
              <w:rPr>
                <w:sz w:val="20"/>
              </w:rPr>
            </w:pPr>
            <w:r>
              <w:rPr>
                <w:sz w:val="20"/>
              </w:rPr>
              <w:t>Mark Vickery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687"/>
        <w:gridCol w:w="2257"/>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both"/>
              <w:rPr/>
            </w:pPr>
            <w:r>
              <w:rPr/>
              <w:t> </w:t>
            </w:r>
          </w:p>
        </w:tc>
        <w:tc>
          <w:tcPr>
            <w:tcW w:w="294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44" w:type="dxa"/>
            <w:gridSpan w:val="2"/>
            <w:tcBorders/>
            <w:vAlign w:val="center"/>
          </w:tcPr>
          <w:p>
            <w:pPr>
              <w:pStyle w:val="TableContents"/>
              <w:bidi w:val="0"/>
              <w:spacing w:before="0" w:after="283"/>
              <w:jc w:val="both"/>
              <w:rPr>
                <w:b/>
                <w:sz w:val="20"/>
              </w:rPr>
            </w:pPr>
            <w:r>
              <w:rPr>
                <w:b/>
                <w:sz w:val="20"/>
              </w:rPr>
              <w:t>Tau Capital Holding Limited</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2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sz w:val="20"/>
              </w:rPr>
            </w:pPr>
            <w:r>
              <w:rPr>
                <w:sz w:val="20"/>
              </w:rPr>
              <w:t>By:</w:t>
            </w:r>
          </w:p>
        </w:tc>
        <w:tc>
          <w:tcPr>
            <w:tcW w:w="225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Andrea Mollica</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sz w:val="20"/>
              </w:rPr>
            </w:pPr>
            <w:r>
              <w:rPr>
                <w:sz w:val="20"/>
              </w:rPr>
              <w:t>Name:</w:t>
            </w:r>
          </w:p>
        </w:tc>
        <w:tc>
          <w:tcPr>
            <w:tcW w:w="2257" w:type="dxa"/>
            <w:tcBorders/>
            <w:vAlign w:val="center"/>
          </w:tcPr>
          <w:p>
            <w:pPr>
              <w:pStyle w:val="TableContents"/>
              <w:bidi w:val="0"/>
              <w:spacing w:before="0" w:after="283"/>
              <w:jc w:val="left"/>
              <w:rPr>
                <w:sz w:val="20"/>
              </w:rPr>
            </w:pPr>
            <w:r>
              <w:rPr>
                <w:sz w:val="20"/>
              </w:rPr>
              <w:t>Andrea Mollica</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sz w:val="20"/>
              </w:rPr>
            </w:pPr>
            <w:r>
              <w:rPr>
                <w:sz w:val="20"/>
              </w:rPr>
              <w:t>Title:</w:t>
            </w:r>
          </w:p>
        </w:tc>
        <w:tc>
          <w:tcPr>
            <w:tcW w:w="225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766"/>
        <w:gridCol w:w="2178"/>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By:</w:t>
            </w:r>
          </w:p>
        </w:tc>
        <w:tc>
          <w:tcPr>
            <w:tcW w:w="217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Andrea Mollica</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Name:</w:t>
            </w:r>
          </w:p>
        </w:tc>
        <w:tc>
          <w:tcPr>
            <w:tcW w:w="2178" w:type="dxa"/>
            <w:tcBorders/>
            <w:vAlign w:val="center"/>
          </w:tcPr>
          <w:p>
            <w:pPr>
              <w:pStyle w:val="TableContents"/>
              <w:bidi w:val="0"/>
              <w:spacing w:before="0" w:after="283"/>
              <w:jc w:val="left"/>
              <w:rPr>
                <w:sz w:val="20"/>
              </w:rPr>
            </w:pPr>
            <w:r>
              <w:rPr>
                <w:sz w:val="20"/>
              </w:rPr>
              <w:t>Andrea Mollica</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755"/>
        <w:gridCol w:w="2189"/>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20"/>
              </w:rPr>
            </w:pPr>
            <w:r>
              <w:rPr>
                <w:sz w:val="20"/>
              </w:rPr>
              <w:t>By:</w:t>
            </w:r>
          </w:p>
        </w:tc>
        <w:tc>
          <w:tcPr>
            <w:tcW w:w="218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William Murray</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20"/>
              </w:rPr>
            </w:pPr>
            <w:r>
              <w:rPr>
                <w:sz w:val="20"/>
              </w:rPr>
              <w:t>Name:</w:t>
            </w:r>
          </w:p>
        </w:tc>
        <w:tc>
          <w:tcPr>
            <w:tcW w:w="2189" w:type="dxa"/>
            <w:tcBorders/>
            <w:vAlign w:val="center"/>
          </w:tcPr>
          <w:p>
            <w:pPr>
              <w:pStyle w:val="TableContents"/>
              <w:bidi w:val="0"/>
              <w:spacing w:before="0" w:after="283"/>
              <w:jc w:val="left"/>
              <w:rPr>
                <w:sz w:val="20"/>
              </w:rPr>
            </w:pPr>
            <w:r>
              <w:rPr>
                <w:sz w:val="20"/>
              </w:rPr>
              <w:t>William Murray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674"/>
        <w:gridCol w:w="2270"/>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sz w:val="20"/>
              </w:rPr>
            </w:pPr>
            <w:r>
              <w:rPr>
                <w:sz w:val="20"/>
              </w:rPr>
              <w:t>By:</w:t>
            </w:r>
          </w:p>
        </w:tc>
        <w:tc>
          <w:tcPr>
            <w:tcW w:w="22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Hassen Benothman</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sz w:val="20"/>
              </w:rPr>
            </w:pPr>
            <w:r>
              <w:rPr>
                <w:sz w:val="20"/>
              </w:rPr>
              <w:t>Name:</w:t>
            </w:r>
          </w:p>
        </w:tc>
        <w:tc>
          <w:tcPr>
            <w:tcW w:w="2270" w:type="dxa"/>
            <w:tcBorders/>
            <w:vAlign w:val="center"/>
          </w:tcPr>
          <w:p>
            <w:pPr>
              <w:pStyle w:val="TableContents"/>
              <w:bidi w:val="0"/>
              <w:spacing w:before="0" w:after="283"/>
              <w:jc w:val="left"/>
              <w:rPr>
                <w:sz w:val="20"/>
              </w:rPr>
            </w:pPr>
            <w:r>
              <w:rPr>
                <w:sz w:val="20"/>
              </w:rPr>
              <w:t>Hassen Benothman</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682"/>
        <w:gridCol w:w="2262"/>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22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sz w:val="20"/>
              </w:rPr>
            </w:pPr>
            <w:r>
              <w:rPr>
                <w:sz w:val="20"/>
              </w:rPr>
              <w:t>By:</w:t>
            </w:r>
          </w:p>
        </w:tc>
        <w:tc>
          <w:tcPr>
            <w:tcW w:w="226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Santhana Krishnan</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sz w:val="20"/>
              </w:rPr>
            </w:pPr>
            <w:r>
              <w:rPr>
                <w:sz w:val="20"/>
              </w:rPr>
              <w:t>Name:</w:t>
            </w:r>
          </w:p>
        </w:tc>
        <w:tc>
          <w:tcPr>
            <w:tcW w:w="2262" w:type="dxa"/>
            <w:tcBorders/>
            <w:vAlign w:val="center"/>
          </w:tcPr>
          <w:p>
            <w:pPr>
              <w:pStyle w:val="TableContents"/>
              <w:bidi w:val="0"/>
              <w:spacing w:before="0" w:after="283"/>
              <w:jc w:val="left"/>
              <w:rPr>
                <w:sz w:val="20"/>
              </w:rPr>
            </w:pPr>
            <w:r>
              <w:rPr>
                <w:sz w:val="20"/>
              </w:rPr>
              <w:t>Santhana Krishnan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760"/>
        <w:gridCol w:w="2184"/>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sz w:val="20"/>
              </w:rPr>
            </w:pPr>
            <w:r>
              <w:rPr>
                <w:sz w:val="20"/>
              </w:rPr>
              <w:t>By:</w:t>
            </w:r>
          </w:p>
        </w:tc>
        <w:tc>
          <w:tcPr>
            <w:tcW w:w="218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Shoba Krishnan</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sz w:val="20"/>
              </w:rPr>
            </w:pPr>
            <w:r>
              <w:rPr>
                <w:sz w:val="20"/>
              </w:rPr>
              <w:t>Name:</w:t>
            </w:r>
          </w:p>
        </w:tc>
        <w:tc>
          <w:tcPr>
            <w:tcW w:w="2184" w:type="dxa"/>
            <w:tcBorders/>
            <w:vAlign w:val="center"/>
          </w:tcPr>
          <w:p>
            <w:pPr>
              <w:pStyle w:val="TableContents"/>
              <w:bidi w:val="0"/>
              <w:spacing w:before="0" w:after="283"/>
              <w:jc w:val="left"/>
              <w:rPr>
                <w:sz w:val="20"/>
              </w:rPr>
            </w:pPr>
            <w:r>
              <w:rPr>
                <w:sz w:val="20"/>
              </w:rPr>
              <w:t>Shoba Krishnan</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886"/>
        <w:gridCol w:w="2058"/>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205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sz w:val="20"/>
              </w:rPr>
            </w:pPr>
            <w:r>
              <w:rPr>
                <w:sz w:val="20"/>
              </w:rPr>
              <w:t>By:</w:t>
            </w:r>
          </w:p>
        </w:tc>
        <w:tc>
          <w:tcPr>
            <w:tcW w:w="205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Ryan Bibbo</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sz w:val="20"/>
              </w:rPr>
            </w:pPr>
            <w:r>
              <w:rPr>
                <w:sz w:val="20"/>
              </w:rPr>
              <w:t>Name:</w:t>
            </w:r>
          </w:p>
        </w:tc>
        <w:tc>
          <w:tcPr>
            <w:tcW w:w="2058" w:type="dxa"/>
            <w:tcBorders/>
            <w:vAlign w:val="center"/>
          </w:tcPr>
          <w:p>
            <w:pPr>
              <w:pStyle w:val="TableContents"/>
              <w:bidi w:val="0"/>
              <w:spacing w:before="0" w:after="283"/>
              <w:jc w:val="left"/>
              <w:rPr>
                <w:sz w:val="20"/>
              </w:rPr>
            </w:pPr>
            <w:r>
              <w:rPr>
                <w:sz w:val="20"/>
              </w:rPr>
              <w:t>Ryan Bibbo</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925"/>
        <w:gridCol w:w="2019"/>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20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sz w:val="20"/>
              </w:rPr>
            </w:pPr>
            <w:r>
              <w:rPr>
                <w:sz w:val="20"/>
              </w:rPr>
              <w:t>By:</w:t>
            </w:r>
          </w:p>
        </w:tc>
        <w:tc>
          <w:tcPr>
            <w:tcW w:w="201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Paul Felder</w:t>
            </w:r>
          </w:p>
        </w:tc>
      </w:tr>
      <w:tr>
        <w:trPr/>
        <w:tc>
          <w:tcPr>
            <w:tcW w:w="7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sz w:val="20"/>
              </w:rPr>
            </w:pPr>
            <w:r>
              <w:rPr>
                <w:sz w:val="20"/>
              </w:rPr>
              <w:t>Name:</w:t>
            </w:r>
          </w:p>
        </w:tc>
        <w:tc>
          <w:tcPr>
            <w:tcW w:w="2019" w:type="dxa"/>
            <w:tcBorders/>
            <w:vAlign w:val="center"/>
          </w:tcPr>
          <w:p>
            <w:pPr>
              <w:pStyle w:val="TableContents"/>
              <w:bidi w:val="0"/>
              <w:spacing w:before="0" w:after="283"/>
              <w:jc w:val="left"/>
              <w:rPr>
                <w:sz w:val="20"/>
              </w:rPr>
            </w:pPr>
            <w:r>
              <w:rPr>
                <w:sz w:val="20"/>
              </w:rPr>
              <w:t>Paul Felder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818"/>
        <w:gridCol w:w="2126"/>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sz w:val="20"/>
              </w:rPr>
            </w:pPr>
            <w:r>
              <w:rPr>
                <w:sz w:val="20"/>
              </w:rPr>
              <w:t>By:</w:t>
            </w:r>
          </w:p>
        </w:tc>
        <w:tc>
          <w:tcPr>
            <w:tcW w:w="2126"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Mike Wallace</w:t>
            </w:r>
          </w:p>
        </w:tc>
      </w:tr>
      <w:tr>
        <w:trPr/>
        <w:tc>
          <w:tcPr>
            <w:tcW w:w="7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sz w:val="20"/>
              </w:rPr>
            </w:pPr>
            <w:r>
              <w:rPr>
                <w:sz w:val="20"/>
              </w:rPr>
              <w:t>Name:</w:t>
            </w:r>
          </w:p>
        </w:tc>
        <w:tc>
          <w:tcPr>
            <w:tcW w:w="2126" w:type="dxa"/>
            <w:tcBorders/>
            <w:vAlign w:val="center"/>
          </w:tcPr>
          <w:p>
            <w:pPr>
              <w:pStyle w:val="TableContents"/>
              <w:bidi w:val="0"/>
              <w:spacing w:before="0" w:after="283"/>
              <w:jc w:val="left"/>
              <w:rPr>
                <w:sz w:val="20"/>
              </w:rPr>
            </w:pPr>
            <w:r>
              <w:rPr>
                <w:sz w:val="20"/>
              </w:rPr>
              <w:t>Mike Wallace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687"/>
        <w:gridCol w:w="2257"/>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both"/>
              <w:rPr/>
            </w:pPr>
            <w:r>
              <w:rPr/>
              <w:t> </w:t>
            </w:r>
          </w:p>
        </w:tc>
        <w:tc>
          <w:tcPr>
            <w:tcW w:w="294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44" w:type="dxa"/>
            <w:gridSpan w:val="2"/>
            <w:tcBorders/>
            <w:vAlign w:val="center"/>
          </w:tcPr>
          <w:p>
            <w:pPr>
              <w:pStyle w:val="TableContents"/>
              <w:bidi w:val="0"/>
              <w:spacing w:before="0" w:after="283"/>
              <w:jc w:val="both"/>
              <w:rPr>
                <w:b/>
                <w:sz w:val="20"/>
              </w:rPr>
            </w:pPr>
            <w:r>
              <w:rPr>
                <w:b/>
                <w:sz w:val="20"/>
              </w:rPr>
              <w:t>HF Fund LP</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22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sz w:val="20"/>
              </w:rPr>
            </w:pPr>
            <w:r>
              <w:rPr>
                <w:sz w:val="20"/>
              </w:rPr>
              <w:t>By:</w:t>
            </w:r>
          </w:p>
        </w:tc>
        <w:tc>
          <w:tcPr>
            <w:tcW w:w="225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Tim Sichler</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sz w:val="20"/>
              </w:rPr>
            </w:pPr>
            <w:r>
              <w:rPr>
                <w:sz w:val="20"/>
              </w:rPr>
              <w:t>Name:</w:t>
            </w:r>
          </w:p>
        </w:tc>
        <w:tc>
          <w:tcPr>
            <w:tcW w:w="2257" w:type="dxa"/>
            <w:tcBorders/>
            <w:vAlign w:val="center"/>
          </w:tcPr>
          <w:p>
            <w:pPr>
              <w:pStyle w:val="TableContents"/>
              <w:bidi w:val="0"/>
              <w:spacing w:before="0" w:after="283"/>
              <w:jc w:val="left"/>
              <w:rPr>
                <w:sz w:val="20"/>
              </w:rPr>
            </w:pPr>
            <w:r>
              <w:rPr>
                <w:sz w:val="20"/>
              </w:rPr>
              <w:t>Tim Sichler</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sz w:val="20"/>
              </w:rPr>
            </w:pPr>
            <w:r>
              <w:rPr>
                <w:sz w:val="20"/>
              </w:rPr>
              <w:t>Title:</w:t>
            </w:r>
          </w:p>
        </w:tc>
        <w:tc>
          <w:tcPr>
            <w:tcW w:w="225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970"/>
        <w:gridCol w:w="3189"/>
      </w:tblGrid>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both"/>
              <w:rPr/>
            </w:pPr>
            <w:r>
              <w:rPr/>
              <w:t> </w:t>
            </w:r>
          </w:p>
        </w:tc>
        <w:tc>
          <w:tcPr>
            <w:tcW w:w="415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b/>
                <w:sz w:val="20"/>
              </w:rPr>
            </w:pPr>
            <w:r>
              <w:rPr>
                <w:b/>
                <w:sz w:val="20"/>
              </w:rPr>
              <w:t>Diametric True Alpha Enhanced Market Neutral</w:t>
              <w:br/>
              <w:t>Master Fund LP</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31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sz w:val="20"/>
              </w:rPr>
            </w:pPr>
            <w:r>
              <w:rPr>
                <w:sz w:val="20"/>
              </w:rPr>
              <w:t>By:</w:t>
            </w:r>
          </w:p>
        </w:tc>
        <w:tc>
          <w:tcPr>
            <w:tcW w:w="318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Tim Sichler</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sz w:val="20"/>
              </w:rPr>
            </w:pPr>
            <w:r>
              <w:rPr>
                <w:sz w:val="20"/>
              </w:rPr>
              <w:t>Name:</w:t>
            </w:r>
          </w:p>
        </w:tc>
        <w:tc>
          <w:tcPr>
            <w:tcW w:w="3189" w:type="dxa"/>
            <w:tcBorders/>
            <w:vAlign w:val="center"/>
          </w:tcPr>
          <w:p>
            <w:pPr>
              <w:pStyle w:val="TableContents"/>
              <w:bidi w:val="0"/>
              <w:spacing w:before="0" w:after="283"/>
              <w:jc w:val="left"/>
              <w:rPr>
                <w:sz w:val="20"/>
              </w:rPr>
            </w:pPr>
            <w:r>
              <w:rPr>
                <w:sz w:val="20"/>
              </w:rPr>
              <w:t>Tim Sichler</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sz w:val="20"/>
              </w:rPr>
            </w:pPr>
            <w:r>
              <w:rPr>
                <w:sz w:val="20"/>
              </w:rPr>
              <w:t>Title:</w:t>
            </w:r>
          </w:p>
        </w:tc>
        <w:tc>
          <w:tcPr>
            <w:tcW w:w="3189"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764"/>
        <w:gridCol w:w="2510"/>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b/>
                <w:sz w:val="20"/>
              </w:rPr>
            </w:pPr>
            <w:r>
              <w:rPr>
                <w:b/>
                <w:sz w:val="20"/>
              </w:rPr>
              <w:t>Diametric True Alpha Market Neutral</w:t>
              <w:br/>
              <w:t>Master Fund LP</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sz w:val="20"/>
              </w:rPr>
            </w:pPr>
            <w:r>
              <w:rPr>
                <w:sz w:val="20"/>
              </w:rPr>
              <w:t>By:</w:t>
            </w:r>
          </w:p>
        </w:tc>
        <w:tc>
          <w:tcPr>
            <w:tcW w:w="25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Tim Sichler</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sz w:val="20"/>
              </w:rPr>
            </w:pPr>
            <w:r>
              <w:rPr>
                <w:sz w:val="20"/>
              </w:rPr>
              <w:t>Name:</w:t>
            </w:r>
          </w:p>
        </w:tc>
        <w:tc>
          <w:tcPr>
            <w:tcW w:w="2510" w:type="dxa"/>
            <w:tcBorders/>
            <w:vAlign w:val="center"/>
          </w:tcPr>
          <w:p>
            <w:pPr>
              <w:pStyle w:val="TableContents"/>
              <w:bidi w:val="0"/>
              <w:spacing w:before="0" w:after="283"/>
              <w:jc w:val="left"/>
              <w:rPr>
                <w:sz w:val="20"/>
              </w:rPr>
            </w:pPr>
            <w:r>
              <w:rPr>
                <w:sz w:val="20"/>
              </w:rPr>
              <w:t>Tim Sichler</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sz w:val="20"/>
              </w:rPr>
            </w:pPr>
            <w:r>
              <w:rPr>
                <w:sz w:val="20"/>
              </w:rPr>
              <w:t>Title:</w:t>
            </w:r>
          </w:p>
        </w:tc>
        <w:tc>
          <w:tcPr>
            <w:tcW w:w="251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729"/>
        <w:gridCol w:w="2395"/>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b/>
                <w:sz w:val="20"/>
              </w:rPr>
            </w:pPr>
            <w:r>
              <w:rPr>
                <w:b/>
                <w:sz w:val="20"/>
              </w:rPr>
              <w:t>LEGACY COMPANY HOLDERS:</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b/>
                <w:sz w:val="20"/>
              </w:rPr>
            </w:pPr>
            <w:r>
              <w:rPr>
                <w:b/>
                <w:sz w:val="20"/>
              </w:rPr>
              <w:t>Jett Capital Advisors Holdings, LLC</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sz w:val="20"/>
              </w:rPr>
            </w:pPr>
            <w:r>
              <w:rPr>
                <w:sz w:val="20"/>
              </w:rPr>
              <w:t>By:</w:t>
            </w:r>
          </w:p>
        </w:tc>
        <w:tc>
          <w:tcPr>
            <w:tcW w:w="23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Matthew Jurjevich</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sz w:val="20"/>
              </w:rPr>
            </w:pPr>
            <w:r>
              <w:rPr>
                <w:sz w:val="20"/>
              </w:rPr>
              <w:t>Name:</w:t>
            </w:r>
          </w:p>
        </w:tc>
        <w:tc>
          <w:tcPr>
            <w:tcW w:w="2395" w:type="dxa"/>
            <w:tcBorders/>
            <w:vAlign w:val="center"/>
          </w:tcPr>
          <w:p>
            <w:pPr>
              <w:pStyle w:val="TableContents"/>
              <w:bidi w:val="0"/>
              <w:spacing w:before="0" w:after="283"/>
              <w:jc w:val="left"/>
              <w:rPr>
                <w:sz w:val="20"/>
              </w:rPr>
            </w:pPr>
            <w:r>
              <w:rPr>
                <w:sz w:val="20"/>
              </w:rPr>
              <w:t>Matthew Jurjevich</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sz w:val="20"/>
              </w:rPr>
            </w:pPr>
            <w:r>
              <w:rPr>
                <w:sz w:val="20"/>
              </w:rPr>
              <w:t>Title:</w:t>
            </w:r>
          </w:p>
        </w:tc>
        <w:tc>
          <w:tcPr>
            <w:tcW w:w="2395"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892"/>
        <w:gridCol w:w="2367"/>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 xml:space="preserve">Alto Opportunity Master Fund, SPC – </w:t>
              <w:br/>
              <w:t>Segregated Master Portfolio B</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 </w:t>
            </w:r>
          </w:p>
        </w:tc>
        <w:tc>
          <w:tcPr>
            <w:tcW w:w="23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sz w:val="20"/>
              </w:rPr>
            </w:pPr>
            <w:r>
              <w:rPr>
                <w:sz w:val="20"/>
              </w:rPr>
              <w:t>By:</w:t>
            </w:r>
          </w:p>
        </w:tc>
        <w:tc>
          <w:tcPr>
            <w:tcW w:w="236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Wasqas Khatri</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sz w:val="20"/>
              </w:rPr>
            </w:pPr>
            <w:r>
              <w:rPr>
                <w:sz w:val="20"/>
              </w:rPr>
              <w:t>Name:</w:t>
            </w:r>
          </w:p>
        </w:tc>
        <w:tc>
          <w:tcPr>
            <w:tcW w:w="2367" w:type="dxa"/>
            <w:tcBorders/>
            <w:vAlign w:val="center"/>
          </w:tcPr>
          <w:p>
            <w:pPr>
              <w:pStyle w:val="TableContents"/>
              <w:bidi w:val="0"/>
              <w:spacing w:before="0" w:after="283"/>
              <w:jc w:val="left"/>
              <w:rPr>
                <w:sz w:val="20"/>
              </w:rPr>
            </w:pPr>
            <w:r>
              <w:rPr>
                <w:sz w:val="20"/>
              </w:rPr>
              <w:t>Wasqas Khatri</w:t>
            </w:r>
          </w:p>
        </w:tc>
      </w:tr>
      <w:tr>
        <w:trPr/>
        <w:tc>
          <w:tcPr>
            <w:tcW w:w="7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sz w:val="20"/>
              </w:rPr>
            </w:pPr>
            <w:r>
              <w:rPr>
                <w:sz w:val="20"/>
              </w:rPr>
              <w:t>Title:</w:t>
            </w:r>
          </w:p>
        </w:tc>
        <w:tc>
          <w:tcPr>
            <w:tcW w:w="2367"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545"/>
        <w:gridCol w:w="4220"/>
      </w:tblGrid>
      <w:tr>
        <w:trPr/>
        <w:tc>
          <w:tcPr>
            <w:tcW w:w="75" w:type="dxa"/>
            <w:tcBorders/>
            <w:vAlign w:val="center"/>
          </w:tcPr>
          <w:p>
            <w:pPr>
              <w:pStyle w:val="TableContents"/>
              <w:bidi w:val="0"/>
              <w:spacing w:before="0" w:after="283"/>
              <w:jc w:val="left"/>
              <w:rPr/>
            </w:pPr>
            <w:r>
              <w:rPr/>
              <w:t> </w:t>
            </w:r>
          </w:p>
        </w:tc>
        <w:tc>
          <w:tcPr>
            <w:tcW w:w="4765"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both"/>
              <w:rPr/>
            </w:pPr>
            <w:r>
              <w:rPr/>
              <w:t> </w:t>
            </w:r>
          </w:p>
        </w:tc>
        <w:tc>
          <w:tcPr>
            <w:tcW w:w="476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765" w:type="dxa"/>
            <w:gridSpan w:val="2"/>
            <w:tcBorders/>
            <w:vAlign w:val="center"/>
          </w:tcPr>
          <w:p>
            <w:pPr>
              <w:pStyle w:val="TableContents"/>
              <w:bidi w:val="0"/>
              <w:spacing w:before="0" w:after="283"/>
              <w:jc w:val="both"/>
              <w:rPr>
                <w:b/>
                <w:sz w:val="20"/>
              </w:rPr>
            </w:pPr>
            <w:r>
              <w:rPr>
                <w:b/>
                <w:sz w:val="20"/>
              </w:rPr>
              <w:t>ALYESKA MASTER FUND, L.P.</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422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James A. Bragg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220" w:type="dxa"/>
            <w:tcBorders/>
            <w:vAlign w:val="center"/>
          </w:tcPr>
          <w:p>
            <w:pPr>
              <w:pStyle w:val="TableContents"/>
              <w:bidi w:val="0"/>
              <w:spacing w:before="0" w:after="283"/>
              <w:jc w:val="left"/>
              <w:rPr>
                <w:sz w:val="20"/>
              </w:rPr>
            </w:pPr>
            <w:r>
              <w:rPr>
                <w:sz w:val="20"/>
              </w:rPr>
              <w:t>James A. Bragg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220" w:type="dxa"/>
            <w:tcBorders/>
            <w:vAlign w:val="center"/>
          </w:tcPr>
          <w:p>
            <w:pPr>
              <w:pStyle w:val="TableContents"/>
              <w:bidi w:val="0"/>
              <w:spacing w:before="0" w:after="283"/>
              <w:jc w:val="left"/>
              <w:rPr>
                <w:sz w:val="20"/>
              </w:rPr>
            </w:pPr>
            <w:r>
              <w:rPr>
                <w:sz w:val="20"/>
              </w:rPr>
              <w:t>CFO of Alyeska Investment Group, L.P.</w:t>
              <w:br/>
              <w:t xml:space="preserve">(investment manager of Alyeska Master Fund, L.P.) </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545"/>
        <w:gridCol w:w="1835"/>
      </w:tblGrid>
      <w:tr>
        <w:trPr/>
        <w:tc>
          <w:tcPr>
            <w:tcW w:w="75" w:type="dxa"/>
            <w:tcBorders/>
            <w:vAlign w:val="center"/>
          </w:tcPr>
          <w:p>
            <w:pPr>
              <w:pStyle w:val="TableContents"/>
              <w:bidi w:val="0"/>
              <w:spacing w:before="0" w:after="283"/>
              <w:jc w:val="left"/>
              <w:rPr/>
            </w:pPr>
            <w:r>
              <w:rPr/>
              <w:t> </w:t>
            </w:r>
          </w:p>
        </w:tc>
        <w:tc>
          <w:tcPr>
            <w:tcW w:w="2380"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both"/>
              <w:rPr/>
            </w:pPr>
            <w:r>
              <w:rPr/>
              <w:t> </w:t>
            </w:r>
          </w:p>
        </w:tc>
        <w:tc>
          <w:tcPr>
            <w:tcW w:w="23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80" w:type="dxa"/>
            <w:gridSpan w:val="2"/>
            <w:tcBorders/>
            <w:vAlign w:val="center"/>
          </w:tcPr>
          <w:p>
            <w:pPr>
              <w:pStyle w:val="TableContents"/>
              <w:bidi w:val="0"/>
              <w:spacing w:before="0" w:after="283"/>
              <w:jc w:val="both"/>
              <w:rPr>
                <w:b/>
                <w:sz w:val="20"/>
              </w:rPr>
            </w:pPr>
            <w:r>
              <w:rPr>
                <w:b/>
                <w:sz w:val="20"/>
              </w:rPr>
              <w:t>Linden Capital, L.P.</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18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8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Saul Ahn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35" w:type="dxa"/>
            <w:tcBorders/>
            <w:vAlign w:val="center"/>
          </w:tcPr>
          <w:p>
            <w:pPr>
              <w:pStyle w:val="TableContents"/>
              <w:bidi w:val="0"/>
              <w:spacing w:before="0" w:after="283"/>
              <w:jc w:val="left"/>
              <w:rPr>
                <w:sz w:val="20"/>
              </w:rPr>
            </w:pPr>
            <w:r>
              <w:rPr>
                <w:sz w:val="20"/>
              </w:rPr>
              <w:t>Saul Ahn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35" w:type="dxa"/>
            <w:tcBorders/>
            <w:vAlign w:val="center"/>
          </w:tcPr>
          <w:p>
            <w:pPr>
              <w:pStyle w:val="TableContents"/>
              <w:bidi w:val="0"/>
              <w:spacing w:before="0" w:after="283"/>
              <w:jc w:val="left"/>
              <w:rPr>
                <w:sz w:val="20"/>
              </w:rPr>
            </w:pPr>
            <w:r>
              <w:rPr>
                <w:sz w:val="20"/>
              </w:rPr>
              <w:t xml:space="preserve">Authorized Signatory </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3589" w:type="dxa"/>
        <w:jc w:val="left"/>
        <w:tblInd w:w="0" w:type="dxa"/>
        <w:tblLayout w:type="fixed"/>
        <w:tblCellMar>
          <w:top w:w="0" w:type="dxa"/>
          <w:left w:w="0" w:type="dxa"/>
          <w:bottom w:w="0" w:type="dxa"/>
          <w:right w:w="0" w:type="dxa"/>
        </w:tblCellMar>
      </w:tblPr>
      <w:tblGrid>
        <w:gridCol w:w="75"/>
        <w:gridCol w:w="766"/>
        <w:gridCol w:w="2748"/>
      </w:tblGrid>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7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b/>
                <w:sz w:val="20"/>
              </w:rPr>
            </w:pPr>
            <w:r>
              <w:rPr>
                <w:b/>
                <w:sz w:val="20"/>
              </w:rPr>
              <w:t>Southern Glazer’s Wine and Spirits, LLC</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7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By:</w:t>
            </w:r>
          </w:p>
        </w:tc>
        <w:tc>
          <w:tcPr>
            <w:tcW w:w="274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Wayne E. Chaplin</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Name:</w:t>
            </w:r>
          </w:p>
        </w:tc>
        <w:tc>
          <w:tcPr>
            <w:tcW w:w="2748" w:type="dxa"/>
            <w:tcBorders/>
            <w:vAlign w:val="center"/>
          </w:tcPr>
          <w:p>
            <w:pPr>
              <w:pStyle w:val="TableContents"/>
              <w:bidi w:val="0"/>
              <w:spacing w:before="0" w:after="283"/>
              <w:jc w:val="left"/>
              <w:rPr>
                <w:sz w:val="20"/>
              </w:rPr>
            </w:pPr>
            <w:r>
              <w:rPr>
                <w:sz w:val="20"/>
              </w:rPr>
              <w:t>Wayne E. Chaplin</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Title:</w:t>
            </w:r>
          </w:p>
        </w:tc>
        <w:tc>
          <w:tcPr>
            <w:tcW w:w="2748"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545"/>
        <w:gridCol w:w="1790"/>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Newtyn Partners,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Noah Levy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90" w:type="dxa"/>
            <w:tcBorders/>
            <w:vAlign w:val="center"/>
          </w:tcPr>
          <w:p>
            <w:pPr>
              <w:pStyle w:val="TableContents"/>
              <w:bidi w:val="0"/>
              <w:spacing w:before="0" w:after="283"/>
              <w:jc w:val="left"/>
              <w:rPr>
                <w:sz w:val="20"/>
              </w:rPr>
            </w:pPr>
            <w:r>
              <w:rPr>
                <w:sz w:val="20"/>
              </w:rPr>
              <w:t>Noah Levy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545"/>
        <w:gridCol w:w="1790"/>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Newtyn TE Partners,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Noah Levy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90" w:type="dxa"/>
            <w:tcBorders/>
            <w:vAlign w:val="center"/>
          </w:tcPr>
          <w:p>
            <w:pPr>
              <w:pStyle w:val="TableContents"/>
              <w:bidi w:val="0"/>
              <w:spacing w:before="0" w:after="283"/>
              <w:jc w:val="left"/>
              <w:rPr>
                <w:sz w:val="20"/>
              </w:rPr>
            </w:pPr>
            <w:r>
              <w:rPr>
                <w:sz w:val="20"/>
              </w:rPr>
              <w:t>Noah Levy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360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545"/>
        <w:gridCol w:w="5570"/>
      </w:tblGrid>
      <w:tr>
        <w:trPr/>
        <w:tc>
          <w:tcPr>
            <w:tcW w:w="75" w:type="dxa"/>
            <w:tcBorders/>
            <w:vAlign w:val="center"/>
          </w:tcPr>
          <w:p>
            <w:pPr>
              <w:pStyle w:val="TableContents"/>
              <w:bidi w:val="0"/>
              <w:spacing w:before="0" w:after="283"/>
              <w:jc w:val="left"/>
              <w:rPr/>
            </w:pPr>
            <w:r>
              <w:rPr/>
              <w:t> </w:t>
            </w:r>
          </w:p>
        </w:tc>
        <w:tc>
          <w:tcPr>
            <w:tcW w:w="6115"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115" w:type="dxa"/>
            <w:gridSpan w:val="2"/>
            <w:tcBorders/>
            <w:vAlign w:val="center"/>
          </w:tcPr>
          <w:p>
            <w:pPr>
              <w:pStyle w:val="TableContents"/>
              <w:bidi w:val="0"/>
              <w:spacing w:before="0" w:after="283"/>
              <w:jc w:val="both"/>
              <w:rPr>
                <w:b/>
                <w:sz w:val="20"/>
              </w:rPr>
            </w:pPr>
            <w:r>
              <w:rPr>
                <w:b/>
                <w:sz w:val="20"/>
              </w:rPr>
              <w:t>Inflection Point Fund I, LP</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5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Blitzer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570" w:type="dxa"/>
            <w:tcBorders/>
            <w:vAlign w:val="center"/>
          </w:tcPr>
          <w:p>
            <w:pPr>
              <w:pStyle w:val="TableContents"/>
              <w:bidi w:val="0"/>
              <w:spacing w:before="0" w:after="283"/>
              <w:jc w:val="left"/>
              <w:rPr>
                <w:sz w:val="20"/>
              </w:rPr>
            </w:pPr>
            <w:r>
              <w:rPr>
                <w:sz w:val="20"/>
              </w:rPr>
              <w:t>Michael Blitzer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570" w:type="dxa"/>
            <w:tcBorders/>
            <w:vAlign w:val="center"/>
          </w:tcPr>
          <w:p>
            <w:pPr>
              <w:pStyle w:val="TableContents"/>
              <w:bidi w:val="0"/>
              <w:spacing w:before="0" w:after="283"/>
              <w:jc w:val="left"/>
              <w:rPr>
                <w:sz w:val="20"/>
              </w:rPr>
            </w:pPr>
            <w:r>
              <w:rPr>
                <w:sz w:val="20"/>
              </w:rPr>
              <w:t>Chief Investment Officer of Inflection Point Asset Management LLC</w:t>
            </w:r>
          </w:p>
        </w:tc>
      </w:tr>
    </w:tbl>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360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545"/>
        <w:gridCol w:w="1790"/>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35" w:type="dxa"/>
            <w:gridSpan w:val="2"/>
            <w:tcBorders/>
            <w:vAlign w:val="center"/>
          </w:tcPr>
          <w:p>
            <w:pPr>
              <w:pStyle w:val="TableContents"/>
              <w:bidi w:val="0"/>
              <w:spacing w:before="0" w:after="283"/>
              <w:jc w:val="both"/>
              <w:rPr>
                <w:b/>
                <w:sz w:val="20"/>
              </w:rPr>
            </w:pPr>
            <w:r>
              <w:rPr>
                <w:b/>
                <w:sz w:val="20"/>
              </w:rPr>
              <w:t>Ghisallo Master Fund LP</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Douglas Ambrose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90" w:type="dxa"/>
            <w:tcBorders/>
            <w:vAlign w:val="center"/>
          </w:tcPr>
          <w:p>
            <w:pPr>
              <w:pStyle w:val="TableContents"/>
              <w:bidi w:val="0"/>
              <w:spacing w:before="0" w:after="283"/>
              <w:jc w:val="left"/>
              <w:rPr>
                <w:sz w:val="20"/>
              </w:rPr>
            </w:pPr>
            <w:r>
              <w:rPr>
                <w:sz w:val="20"/>
              </w:rPr>
              <w:t>Douglas Ambrose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504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545"/>
        <w:gridCol w:w="9365"/>
      </w:tblGrid>
      <w:tr>
        <w:trPr/>
        <w:tc>
          <w:tcPr>
            <w:tcW w:w="75" w:type="dxa"/>
            <w:tcBorders/>
            <w:vAlign w:val="center"/>
          </w:tcPr>
          <w:p>
            <w:pPr>
              <w:pStyle w:val="TableContents"/>
              <w:bidi w:val="0"/>
              <w:spacing w:before="0" w:after="283"/>
              <w:jc w:val="left"/>
              <w:rPr/>
            </w:pPr>
            <w:r>
              <w:rPr/>
              <w:t> </w:t>
            </w:r>
          </w:p>
        </w:tc>
        <w:tc>
          <w:tcPr>
            <w:tcW w:w="9910" w:type="dxa"/>
            <w:gridSpan w:val="2"/>
            <w:tcBorders/>
            <w:vAlign w:val="center"/>
          </w:tcPr>
          <w:p>
            <w:pPr>
              <w:pStyle w:val="TableContents"/>
              <w:bidi w:val="0"/>
              <w:spacing w:before="0" w:after="283"/>
              <w:jc w:val="left"/>
              <w:rPr>
                <w:b/>
                <w:sz w:val="20"/>
              </w:rPr>
            </w:pPr>
            <w:r>
              <w:rPr>
                <w:b/>
                <w:sz w:val="20"/>
              </w:rPr>
              <w:t>PIPE HOLDERS:</w:t>
            </w:r>
          </w:p>
        </w:tc>
      </w:tr>
      <w:tr>
        <w:trPr/>
        <w:tc>
          <w:tcPr>
            <w:tcW w:w="75" w:type="dxa"/>
            <w:tcBorders/>
            <w:vAlign w:val="center"/>
          </w:tcPr>
          <w:p>
            <w:pPr>
              <w:pStyle w:val="TableContents"/>
              <w:bidi w:val="0"/>
              <w:spacing w:before="0" w:after="283"/>
              <w:jc w:val="both"/>
              <w:rPr/>
            </w:pPr>
            <w:r>
              <w:rPr/>
              <w:t> </w:t>
            </w:r>
          </w:p>
        </w:tc>
        <w:tc>
          <w:tcPr>
            <w:tcW w:w="99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910" w:type="dxa"/>
            <w:gridSpan w:val="2"/>
            <w:tcBorders/>
            <w:vAlign w:val="center"/>
          </w:tcPr>
          <w:p>
            <w:pPr>
              <w:pStyle w:val="TableContents"/>
              <w:bidi w:val="0"/>
              <w:spacing w:before="0" w:after="283"/>
              <w:jc w:val="both"/>
              <w:rPr>
                <w:b/>
                <w:sz w:val="20"/>
              </w:rPr>
            </w:pPr>
            <w:r>
              <w:rPr>
                <w:b/>
                <w:sz w:val="20"/>
              </w:rPr>
              <w:t>LMR CCSA Master Fund Limited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b/>
                <w:sz w:val="20"/>
              </w:rPr>
            </w:pPr>
            <w:r>
              <w:rPr>
                <w:b/>
                <w:sz w:val="20"/>
              </w:rPr>
              <w:t>By:</w:t>
            </w:r>
          </w:p>
        </w:tc>
        <w:tc>
          <w:tcPr>
            <w:tcW w:w="9365" w:type="dxa"/>
            <w:tcBorders/>
            <w:vAlign w:val="center"/>
          </w:tcPr>
          <w:p>
            <w:pPr>
              <w:pStyle w:val="TableContents"/>
              <w:bidi w:val="0"/>
              <w:spacing w:before="0" w:after="283"/>
              <w:jc w:val="both"/>
              <w:rPr>
                <w:b/>
                <w:sz w:val="20"/>
              </w:rPr>
            </w:pPr>
            <w:r>
              <w:rPr>
                <w:b/>
                <w:sz w:val="20"/>
              </w:rPr>
              <w:t>LMR Partners LLP, acting in its capacity as investment manager to LMR CCSA Master Fund Limited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93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Alex Mitchell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9365" w:type="dxa"/>
            <w:tcBorders/>
            <w:vAlign w:val="center"/>
          </w:tcPr>
          <w:p>
            <w:pPr>
              <w:pStyle w:val="TableContents"/>
              <w:bidi w:val="0"/>
              <w:spacing w:before="0" w:after="283"/>
              <w:jc w:val="left"/>
              <w:rPr>
                <w:sz w:val="20"/>
              </w:rPr>
            </w:pPr>
            <w:r>
              <w:rPr>
                <w:sz w:val="20"/>
              </w:rPr>
              <w:t>Alex Mitchell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9365" w:type="dxa"/>
            <w:tcBorders/>
            <w:vAlign w:val="center"/>
          </w:tcPr>
          <w:p>
            <w:pPr>
              <w:pStyle w:val="TableContents"/>
              <w:bidi w:val="0"/>
              <w:spacing w:before="0" w:after="283"/>
              <w:jc w:val="left"/>
              <w:rPr>
                <w:sz w:val="20"/>
              </w:rPr>
            </w:pPr>
            <w:r>
              <w:rPr>
                <w:sz w:val="20"/>
              </w:rPr>
              <w:t>General Counsel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9910" w:type="dxa"/>
            <w:gridSpan w:val="2"/>
            <w:tcBorders/>
            <w:vAlign w:val="center"/>
          </w:tcPr>
          <w:p>
            <w:pPr>
              <w:pStyle w:val="TableContents"/>
              <w:bidi w:val="0"/>
              <w:spacing w:before="0" w:after="283"/>
              <w:jc w:val="both"/>
              <w:rPr>
                <w:b/>
                <w:sz w:val="20"/>
              </w:rPr>
            </w:pPr>
            <w:r>
              <w:rPr>
                <w:b/>
                <w:sz w:val="20"/>
              </w:rPr>
              <w:t>LMR Multi-Strategy Master Fund Limited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b/>
                <w:sz w:val="20"/>
              </w:rPr>
            </w:pPr>
            <w:r>
              <w:rPr>
                <w:b/>
                <w:sz w:val="20"/>
              </w:rPr>
              <w:t>By:</w:t>
            </w:r>
          </w:p>
        </w:tc>
        <w:tc>
          <w:tcPr>
            <w:tcW w:w="9365" w:type="dxa"/>
            <w:tcBorders/>
            <w:vAlign w:val="center"/>
          </w:tcPr>
          <w:p>
            <w:pPr>
              <w:pStyle w:val="TableContents"/>
              <w:bidi w:val="0"/>
              <w:spacing w:before="0" w:after="283"/>
              <w:jc w:val="both"/>
              <w:rPr>
                <w:b/>
                <w:sz w:val="20"/>
              </w:rPr>
            </w:pPr>
            <w:r>
              <w:rPr>
                <w:b/>
                <w:sz w:val="20"/>
              </w:rPr>
              <w:t>LMR Partners LLP, acting in its capacity as investment manager to LMR Multi-Strategy Master Fund Limited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93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Alex Mitchell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9365" w:type="dxa"/>
            <w:tcBorders/>
            <w:vAlign w:val="center"/>
          </w:tcPr>
          <w:p>
            <w:pPr>
              <w:pStyle w:val="TableContents"/>
              <w:bidi w:val="0"/>
              <w:spacing w:before="0" w:after="283"/>
              <w:jc w:val="left"/>
              <w:rPr>
                <w:sz w:val="20"/>
              </w:rPr>
            </w:pPr>
            <w:r>
              <w:rPr>
                <w:sz w:val="20"/>
              </w:rPr>
              <w:t>Alex Mitchell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9365" w:type="dxa"/>
            <w:tcBorders/>
            <w:vAlign w:val="center"/>
          </w:tcPr>
          <w:p>
            <w:pPr>
              <w:pStyle w:val="TableContents"/>
              <w:bidi w:val="0"/>
              <w:spacing w:before="0" w:after="283"/>
              <w:jc w:val="left"/>
              <w:rPr>
                <w:sz w:val="20"/>
              </w:rPr>
            </w:pPr>
            <w:r>
              <w:rPr>
                <w:sz w:val="20"/>
              </w:rPr>
              <w:t>General Counsel</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OMITTED] </w:t>
      </w:r>
    </w:p>
    <w:p>
      <w:pPr>
        <w:pStyle w:val="TextBody"/>
        <w:bidi w:val="0"/>
        <w:spacing w:before="0" w:after="0"/>
        <w:ind w:left="0" w:right="0" w:hanging="0"/>
        <w:jc w:val="center"/>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r>
        <w:rPr>
          <w:rFonts w:ascii="Symbol" w:hAnsi="Symbol"/>
          <w:b/>
          <w:i w:val="false"/>
          <w:caps w:val="false"/>
          <w:smallCaps w:val="false"/>
          <w:sz w:val="20"/>
        </w:rPr>
        <w:t>·</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r>
        <w:rPr>
          <w:rFonts w:ascii="Symbol" w:hAnsi="Symbol"/>
          <w:b/>
          <w:i w:val="false"/>
          <w:caps w:val="false"/>
          <w:smallCaps w:val="false"/>
          <w:sz w:val="20"/>
        </w:rPr>
        <w:t>·</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r>
        <w:rPr>
          <w:rFonts w:ascii="Symbol" w:hAnsi="Symbol"/>
          <w:b/>
          <w:i w:val="false"/>
          <w:caps w:val="false"/>
          <w:smallCaps w:val="false"/>
          <w:sz w:val="20"/>
        </w:rPr>
        <w:t>·</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Indemnification in-lieu-of Medallion Signature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in regards to the transfer by [Name of Holder] to [   ], of [   ] [ordinary shares / Series A Preference Shares] of [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 (formerly known as Inflection Point Acquisition Corp. III)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Please be advised that the Company authorizes Continental Stock Transfer &amp; Trust Company to process the subject transfer, which includes securities that have been duly endorsed by the registered holder but do not bear a customary medallion signature guarantee. The Company agrees to indemnify Continental Stock Transfer &amp; Trust Company against all losses, damages, costs, charges and expenses that it may in any way sustain, incur, or become liable for by reason related to the above referenced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 a duly authorized officer of the Company, have the authority to execute this indemnification on behalf of the Company.</w:t>
      </w:r>
    </w:p>
    <w:p>
      <w:pPr>
        <w:pStyle w:val="TextBody"/>
        <w:bidi w:val="0"/>
        <w:spacing w:before="0" w:after="0"/>
        <w:ind w:left="0" w:right="0" w:hanging="0"/>
        <w:jc w:val="both"/>
        <w:rPr>
          <w:caps w:val="false"/>
          <w:smallCaps w:val="false"/>
        </w:rPr>
      </w:pPr>
      <w:r>
        <w:rPr>
          <w:caps w:val="false"/>
          <w:smallCaps w:val="false"/>
        </w:rPr>
        <w:t> </w:t>
      </w:r>
    </w:p>
    <w:tbl>
      <w:tblPr>
        <w:tblW w:w="1474" w:type="dxa"/>
        <w:jc w:val="left"/>
        <w:tblInd w:w="0" w:type="dxa"/>
        <w:tblLayout w:type="fixed"/>
        <w:tblCellMar>
          <w:top w:w="0" w:type="dxa"/>
          <w:left w:w="0" w:type="dxa"/>
          <w:bottom w:w="0" w:type="dxa"/>
          <w:right w:w="0" w:type="dxa"/>
        </w:tblCellMar>
      </w:tblPr>
      <w:tblGrid>
        <w:gridCol w:w="75"/>
        <w:gridCol w:w="1242"/>
        <w:gridCol w:w="157"/>
      </w:tblGrid>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sz w:val="20"/>
              </w:rPr>
            </w:pPr>
            <w:r>
              <w:rPr>
                <w:sz w:val="20"/>
              </w:rPr>
              <w:t>Very truly yours,</w:t>
            </w:r>
          </w:p>
        </w:tc>
      </w:tr>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sz w:val="20"/>
              </w:rPr>
            </w:pPr>
            <w:r>
              <w:rPr>
                <w:b/>
                <w:sz w:val="20"/>
              </w:rPr>
              <w:t>[ </w:t>
            </w:r>
            <w:r>
              <w:rPr>
                <w:rFonts w:ascii="Symbol" w:hAnsi="Symbol"/>
                <w:sz w:val="20"/>
              </w:rPr>
              <w:t>·</w:t>
            </w:r>
            <w:r>
              <w:rPr>
                <w:sz w:val="20"/>
              </w:rPr>
              <w:t> </w:t>
            </w:r>
            <w:r>
              <w:rPr>
                <w:b/>
                <w:sz w:val="20"/>
              </w:rPr>
              <w:t>]</w:t>
            </w:r>
          </w:p>
        </w:tc>
      </w:tr>
      <w:tr>
        <w:trPr/>
        <w:tc>
          <w:tcPr>
            <w:tcW w:w="75" w:type="dxa"/>
            <w:tcBorders/>
            <w:vAlign w:val="center"/>
          </w:tcPr>
          <w:p>
            <w:pPr>
              <w:pStyle w:val="TableContents"/>
              <w:bidi w:val="0"/>
              <w:spacing w:before="0" w:after="283"/>
              <w:jc w:val="both"/>
              <w:rPr/>
            </w:pPr>
            <w:r>
              <w:rPr/>
              <w:t> </w:t>
            </w:r>
          </w:p>
        </w:tc>
        <w:tc>
          <w:tcPr>
            <w:tcW w:w="13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42" w:type="dxa"/>
            <w:tcBorders/>
            <w:vAlign w:val="center"/>
          </w:tcPr>
          <w:p>
            <w:pPr>
              <w:pStyle w:val="TableContents"/>
              <w:bidi w:val="0"/>
              <w:spacing w:before="0" w:after="283"/>
              <w:jc w:val="both"/>
              <w:rPr>
                <w:sz w:val="20"/>
              </w:rPr>
            </w:pPr>
            <w:r>
              <w:rPr>
                <w:sz w:val="20"/>
              </w:rPr>
              <w:t>By: </w:t>
            </w:r>
          </w:p>
        </w:tc>
        <w:tc>
          <w:tcPr>
            <w:tcW w:w="15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42" w:type="dxa"/>
            <w:tcBorders/>
            <w:vAlign w:val="center"/>
          </w:tcPr>
          <w:p>
            <w:pPr>
              <w:pStyle w:val="TableContents"/>
              <w:bidi w:val="0"/>
              <w:spacing w:before="0" w:after="283"/>
              <w:jc w:val="both"/>
              <w:rPr>
                <w:sz w:val="20"/>
              </w:rPr>
            </w:pPr>
            <w:r>
              <w:rPr>
                <w:sz w:val="20"/>
              </w:rPr>
              <w:t>Name: </w:t>
            </w:r>
          </w:p>
        </w:tc>
        <w:tc>
          <w:tcPr>
            <w:tcW w:w="15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42" w:type="dxa"/>
            <w:tcBorders/>
            <w:vAlign w:val="center"/>
          </w:tcPr>
          <w:p>
            <w:pPr>
              <w:pStyle w:val="TableContents"/>
              <w:bidi w:val="0"/>
              <w:spacing w:before="0" w:after="283"/>
              <w:jc w:val="both"/>
              <w:rPr>
                <w:sz w:val="20"/>
              </w:rPr>
            </w:pPr>
            <w:r>
              <w:rPr>
                <w:sz w:val="20"/>
              </w:rPr>
              <w:t>Title:</w:t>
            </w:r>
          </w:p>
        </w:tc>
        <w:tc>
          <w:tcPr>
            <w:tcW w:w="157" w:type="dxa"/>
            <w:tcBorders/>
            <w:vAlign w:val="center"/>
          </w:tcPr>
          <w:p>
            <w:pPr>
              <w:pStyle w:val="TableContents"/>
              <w:bidi w:val="0"/>
              <w:spacing w:before="0" w:after="283"/>
              <w:jc w:val="both"/>
              <w:rPr/>
            </w:pPr>
            <w:r>
              <w:rPr/>
              <w:t> </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Name of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Indemnification in-lieu-of Medallion Signature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in regards to the transfer by [Name of Holder]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to [   ], of [   ] [ordinary shares / Series A Preference Shares]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Please be advised that the Transferor authorizes the Company and Continental Stock Transfer &amp; Trust Company to process the subject transfer, which includes securities that have been duly endorsed by the Transferor but do not bear a customary medallion signature guarantee. The Transferor agrees to indemnify the Company against all losses, liability or costs that may ensue as a result of its processing the above referenced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 a duly authorized officer of the Company, have the authority to execute this indemnification on behalf of the Company.</w:t>
      </w:r>
    </w:p>
    <w:p>
      <w:pPr>
        <w:pStyle w:val="TextBody"/>
        <w:bidi w:val="0"/>
        <w:spacing w:before="0" w:after="0"/>
        <w:ind w:left="0" w:right="0" w:hanging="0"/>
        <w:jc w:val="both"/>
        <w:rPr>
          <w:caps w:val="false"/>
          <w:smallCaps w:val="false"/>
        </w:rPr>
      </w:pPr>
      <w:r>
        <w:rPr>
          <w:caps w:val="false"/>
          <w:smallCaps w:val="false"/>
        </w:rPr>
        <w:t> </w:t>
      </w:r>
    </w:p>
    <w:tbl>
      <w:tblPr>
        <w:tblW w:w="1579" w:type="dxa"/>
        <w:jc w:val="left"/>
        <w:tblInd w:w="0" w:type="dxa"/>
        <w:tblLayout w:type="fixed"/>
        <w:tblCellMar>
          <w:top w:w="0" w:type="dxa"/>
          <w:left w:w="0" w:type="dxa"/>
          <w:bottom w:w="0" w:type="dxa"/>
          <w:right w:w="0" w:type="dxa"/>
        </w:tblCellMar>
      </w:tblPr>
      <w:tblGrid>
        <w:gridCol w:w="75"/>
        <w:gridCol w:w="1336"/>
        <w:gridCol w:w="168"/>
      </w:tblGrid>
      <w:tr>
        <w:trPr/>
        <w:tc>
          <w:tcPr>
            <w:tcW w:w="75" w:type="dxa"/>
            <w:tcBorders/>
            <w:vAlign w:val="center"/>
          </w:tcPr>
          <w:p>
            <w:pPr>
              <w:pStyle w:val="TableContents"/>
              <w:bidi w:val="0"/>
              <w:spacing w:before="0" w:after="283"/>
              <w:jc w:val="both"/>
              <w:rPr/>
            </w:pPr>
            <w:r>
              <w:rPr/>
              <w:t> </w:t>
            </w:r>
          </w:p>
        </w:tc>
        <w:tc>
          <w:tcPr>
            <w:tcW w:w="1504" w:type="dxa"/>
            <w:gridSpan w:val="2"/>
            <w:tcBorders/>
            <w:vAlign w:val="center"/>
          </w:tcPr>
          <w:p>
            <w:pPr>
              <w:pStyle w:val="TableContents"/>
              <w:bidi w:val="0"/>
              <w:spacing w:before="0" w:after="283"/>
              <w:jc w:val="both"/>
              <w:rPr>
                <w:sz w:val="20"/>
              </w:rPr>
            </w:pPr>
            <w:r>
              <w:rPr>
                <w:sz w:val="20"/>
              </w:rPr>
              <w:t>Very truly yours,</w:t>
            </w:r>
          </w:p>
        </w:tc>
      </w:tr>
      <w:tr>
        <w:trPr/>
        <w:tc>
          <w:tcPr>
            <w:tcW w:w="75" w:type="dxa"/>
            <w:tcBorders/>
            <w:vAlign w:val="center"/>
          </w:tcPr>
          <w:p>
            <w:pPr>
              <w:pStyle w:val="TableContents"/>
              <w:bidi w:val="0"/>
              <w:spacing w:before="0" w:after="283"/>
              <w:jc w:val="both"/>
              <w:rPr/>
            </w:pPr>
            <w:r>
              <w:rPr/>
              <w:t> </w:t>
            </w:r>
          </w:p>
        </w:tc>
        <w:tc>
          <w:tcPr>
            <w:tcW w:w="15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04" w:type="dxa"/>
            <w:gridSpan w:val="2"/>
            <w:tcBorders/>
            <w:vAlign w:val="center"/>
          </w:tcPr>
          <w:p>
            <w:pPr>
              <w:pStyle w:val="TableContents"/>
              <w:bidi w:val="0"/>
              <w:spacing w:before="0" w:after="283"/>
              <w:jc w:val="both"/>
              <w:rPr>
                <w:sz w:val="20"/>
              </w:rPr>
            </w:pPr>
            <w:r>
              <w:rPr>
                <w:sz w:val="20"/>
              </w:rPr>
              <w:t>[</w:t>
            </w:r>
            <w:r>
              <w:rPr>
                <w:b/>
                <w:sz w:val="20"/>
              </w:rPr>
              <w:t>Name of Holder</w:t>
            </w:r>
            <w:r>
              <w:rPr>
                <w:sz w:val="20"/>
              </w:rPr>
              <w:t>]</w:t>
            </w:r>
          </w:p>
        </w:tc>
      </w:tr>
      <w:tr>
        <w:trPr/>
        <w:tc>
          <w:tcPr>
            <w:tcW w:w="75" w:type="dxa"/>
            <w:tcBorders/>
            <w:vAlign w:val="center"/>
          </w:tcPr>
          <w:p>
            <w:pPr>
              <w:pStyle w:val="TableContents"/>
              <w:bidi w:val="0"/>
              <w:spacing w:before="0" w:after="283"/>
              <w:jc w:val="both"/>
              <w:rPr/>
            </w:pPr>
            <w:r>
              <w:rPr/>
              <w:t> </w:t>
            </w:r>
          </w:p>
        </w:tc>
        <w:tc>
          <w:tcPr>
            <w:tcW w:w="15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6" w:type="dxa"/>
            <w:tcBorders/>
            <w:vAlign w:val="center"/>
          </w:tcPr>
          <w:p>
            <w:pPr>
              <w:pStyle w:val="TableContents"/>
              <w:bidi w:val="0"/>
              <w:spacing w:before="0" w:after="283"/>
              <w:jc w:val="both"/>
              <w:rPr>
                <w:sz w:val="20"/>
              </w:rPr>
            </w:pPr>
            <w:r>
              <w:rPr>
                <w:sz w:val="20"/>
              </w:rPr>
              <w:t>By: </w:t>
            </w:r>
          </w:p>
        </w:tc>
        <w:tc>
          <w:tcPr>
            <w:tcW w:w="168"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6" w:type="dxa"/>
            <w:tcBorders/>
            <w:vAlign w:val="center"/>
          </w:tcPr>
          <w:p>
            <w:pPr>
              <w:pStyle w:val="TableContents"/>
              <w:bidi w:val="0"/>
              <w:spacing w:before="0" w:after="283"/>
              <w:jc w:val="both"/>
              <w:rPr>
                <w:sz w:val="20"/>
              </w:rPr>
            </w:pPr>
            <w:r>
              <w:rPr>
                <w:sz w:val="20"/>
              </w:rPr>
              <w:t>Name: </w:t>
            </w:r>
          </w:p>
        </w:tc>
        <w:tc>
          <w:tcPr>
            <w:tcW w:w="16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36" w:type="dxa"/>
            <w:tcBorders/>
            <w:vAlign w:val="center"/>
          </w:tcPr>
          <w:p>
            <w:pPr>
              <w:pStyle w:val="TableContents"/>
              <w:bidi w:val="0"/>
              <w:spacing w:before="0" w:after="283"/>
              <w:jc w:val="both"/>
              <w:rPr>
                <w:sz w:val="20"/>
              </w:rPr>
            </w:pPr>
            <w:r>
              <w:rPr>
                <w:sz w:val="20"/>
              </w:rPr>
              <w:t>Title:</w:t>
            </w:r>
          </w:p>
        </w:tc>
        <w:tc>
          <w:tcPr>
            <w:tcW w:w="16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30279801ex15-1.htm"/>
      <w:bookmarkStart w:id="30" w:name="ksea030279801ex151"/>
      <w:bookmarkEnd w:id="29"/>
      <w:bookmarkEnd w:id="30"/>
      <w:r>
        <w:rPr>
          <w:rFonts w:ascii="Times New Roman;Times;Serif" w:hAnsi="Times New Roman;Times;Serif"/>
          <w:b/>
          <w:i w:val="false"/>
          <w:caps w:val="false"/>
          <w:smallCaps w:val="false"/>
          <w:sz w:val="20"/>
        </w:rPr>
        <w:t>Exhibit 15.1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April 10, 2026 with respect to the financial statements of Air Water Ventures Limited as of December 31, 2025 and for the period from August 8, 2025 (inception) to December 31, 2025, which are incorporated by reference in this Shell Company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of the aforementioned report in this Shell Company Report on Form 20-F and to the use of our name as it appears under the caption “Statement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Audit and Accounting Limited (Dubai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Dubai, United Arab Emirates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279801ex15-2.htm"/>
      <w:bookmarkStart w:id="32" w:name="ksea030279801ex152"/>
      <w:bookmarkEnd w:id="31"/>
      <w:bookmarkEnd w:id="32"/>
      <w:r>
        <w:rPr>
          <w:rFonts w:ascii="Times New Roman;Times;Serif" w:hAnsi="Times New Roman;Times;Serif"/>
          <w:b/>
          <w:i w:val="false"/>
          <w:caps w:val="false"/>
          <w:smallCaps w:val="false"/>
          <w:sz w:val="20"/>
        </w:rPr>
        <w:t>Exhibit 15.2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April 10, 2026 with respect to the consolidated financial statements of Air Water Ventures Holdings Limited and its subsidiaries as of December 31, 2025 and 2024, and for each of the years in the two-year period ended December 31, 2025, which are incorporated by reference in this Shell Company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of the aforementioned report in this Shell Company Report on Form 20-F and to the use of our name as it appears under the caption “Statement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Audit and Accounting Limited (Dubai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Dubai, United Arab Emirates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720" w:right="0" w:hanging="0"/>
        <w:jc w:val="right"/>
        <w:rPr>
          <w:rFonts w:ascii="Times New Roman;Times;Serif" w:hAnsi="Times New Roman;Times;Serif"/>
          <w:b/>
          <w:i w:val="false"/>
          <w:caps w:val="false"/>
          <w:smallCaps w:val="false"/>
          <w:sz w:val="20"/>
        </w:rPr>
      </w:pPr>
      <w:bookmarkStart w:id="33" w:name="ea030279801ex15-3.htm"/>
      <w:bookmarkStart w:id="34" w:name="ksea030279801ex153"/>
      <w:bookmarkEnd w:id="33"/>
      <w:bookmarkEnd w:id="34"/>
      <w:r>
        <w:rPr>
          <w:rFonts w:ascii="Times New Roman;Times;Serif" w:hAnsi="Times New Roman;Times;Serif"/>
          <w:b/>
          <w:i w:val="false"/>
          <w:caps w:val="false"/>
          <w:smallCaps w:val="false"/>
          <w:sz w:val="20"/>
        </w:rPr>
        <w:t>Exhibit 15.3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incorporation by reference of our report dated March 30, 2026 with respect to our audits of the consolidated financial statements of Inflection Point Acquisition Corp. III as of December 31, 2025 and 2024, and for the year ended December 31, 2025 and for the period from January 31, 2024 (inception) through December 31, 2024 in Air Water Ventures Limited’s Form 20-F. Our report contained an explanatory paragraph regarding substantial doubt about Inflection Point Acquisition Corp. III’s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12318/000121390025080145/ea025411001ex10-1_inflect3.htm" TargetMode="External"/><Relationship Id="rId3" Type="http://schemas.openxmlformats.org/officeDocument/2006/relationships/hyperlink" Target="http://www.sec.gov/Archives/edgar/data/2012318/000121390025080145/ea025411001ex10-2_inflect3.htm" TargetMode="External"/><Relationship Id="rId4" Type="http://schemas.openxmlformats.org/officeDocument/2006/relationships/hyperlink" Target="http://www.sec.gov/Archives/edgar/data/2012318/000121390025080145/ea025411001ex10-4_inflect3.htm" TargetMode="External"/><Relationship Id="rId5" Type="http://schemas.openxmlformats.org/officeDocument/2006/relationships/hyperlink" Target="http://www.sec.gov/Archives/edgar/data/2012318/000121390025080145/ea025411001ex10-7_inflect3.htm" TargetMode="External"/><Relationship Id="rId6" Type="http://schemas.openxmlformats.org/officeDocument/2006/relationships/hyperlink" Target="https://www.sec.gov/Archives/edgar/data/2092314/000121390026072353/ea026647010ex10-8.htm" TargetMode="External"/><Relationship Id="rId7" Type="http://schemas.openxmlformats.org/officeDocument/2006/relationships/hyperlink" Target="https://www.sec.gov/Archives/edgar/data/2092314/000121390026072353/ea026647010ex10-9.htm" TargetMode="External"/><Relationship Id="rId8" Type="http://schemas.openxmlformats.org/officeDocument/2006/relationships/hyperlink" Target="https://www.sec.gov/Archives/edgar/data/2092314/000121390026072353/ea026647010ex10-10.htm" TargetMode="External"/><Relationship Id="rId9" Type="http://schemas.openxmlformats.org/officeDocument/2006/relationships/hyperlink" Target="https://www.sec.gov/Archives/edgar/data/2092314/000121390026072353/ea026647010ex21-1.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176</Pages>
  <Words>68672</Words>
  <Characters>355523</Characters>
  <CharactersWithSpaces>423404</CharactersWithSpaces>
  <Paragraphs>6107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