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156-6k_air.htm"/>
      <w:bookmarkStart w:id="1" w:name="ksea03081566k_ai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Water Ventures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3, Kizad KLP FZ, Kizad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Abu Dhabi, UAE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109214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that is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Air Water Ventures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subject to Nasdaq corporate governance listing standards, with certain exceptions. Pursuant to the home country practice exemption set forth under Nasdaq Marketplace Rule 5615(a)(3)(A) and other applicable exemptions, which provide (with certain exceptions not relevant to the conclusions expressed herein) that a foreign private issuer may follow its home country corporate governance practices in lieu of the requirements of the Nasdaq Marketplace Rule 5600 Series, the Company has elected to be exempted from the following requirements of the Nasdaq Marketplace Rule 5600 Series: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Nasdaq Marketplace Rule 5635(a), which sets forth the circumstances under which shareholder approval is required prior to an issuance of securities of the Company in connection with the acquisition of the stock or assets of another company;</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Nasdaq Marketplace Rule 5635(b), which sets forth the circumstances under which shareholder approval is required prior to an issuance or potential issuance of securities of the Company that will result in a change of control of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79" w:type="dxa"/>
            <w:tcBorders/>
            <w:vAlign w:val="center"/>
          </w:tcPr>
          <w:p>
            <w:pPr>
              <w:pStyle w:val="TableContents"/>
              <w:bidi w:val="0"/>
              <w:spacing w:before="0" w:after="283"/>
              <w:jc w:val="both"/>
              <w:rPr/>
            </w:pPr>
            <w:r>
              <w:rPr/>
              <w:t>Nasdaq Marketplace Rule 5635(d), which sets forth the circumstances under which shareholder approval is required prior to an issuance of securities in connection with a transaction, other than a public offering, involving the sale, issuance or potential issuance of common stock (or securities convertible into or exercisable for common stock) equal to 20% or more of the common stock or voting power outstanding before the issuance, at a price that is less than the minimum price (as defined in Nasdaq Listing Rule 5635(d)).</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the shareholder approval requirements set forth in Nasdaq Listing Rules 5635(a), (b) and (d), the Company intends to follow its home country practice in the Cayman Islands, where there is no established or normal practice, and no requirement under Cayman Islands law, to obtain shareholder approval prior to the issuance of securities in connection with the acquisition of the stock or assets of another company, change of control of the Company or a transaction other than a public offering, subject to applicable Cayman Islands law and the Company’s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Cayman Islands counsel, Conyers Dill &amp; Pearman LLP (“</w:t>
      </w:r>
      <w:r>
        <w:rPr>
          <w:rFonts w:ascii="Times New Roman;Times;Serif" w:hAnsi="Times New Roman;Times;Serif"/>
          <w:b/>
          <w:i w:val="false"/>
          <w:caps w:val="false"/>
          <w:smallCaps w:val="false"/>
          <w:sz w:val="20"/>
        </w:rPr>
        <w:t>Cayman Counsel</w:t>
      </w:r>
      <w:r>
        <w:rPr>
          <w:rFonts w:ascii="Times New Roman;Times;Serif" w:hAnsi="Times New Roman;Times;Serif"/>
          <w:b w:val="false"/>
          <w:i w:val="false"/>
          <w:caps w:val="false"/>
          <w:smallCaps w:val="false"/>
          <w:sz w:val="20"/>
        </w:rPr>
        <w:t>”), has provided a letter (the “</w:t>
      </w:r>
      <w:r>
        <w:rPr>
          <w:rFonts w:ascii="Times New Roman;Times;Serif" w:hAnsi="Times New Roman;Times;Serif"/>
          <w:b/>
          <w:i w:val="false"/>
          <w:caps w:val="false"/>
          <w:smallCaps w:val="false"/>
          <w:sz w:val="20"/>
        </w:rPr>
        <w:t>Home Country Exemption Letter</w:t>
      </w:r>
      <w:r>
        <w:rPr>
          <w:rFonts w:ascii="Times New Roman;Times;Serif" w:hAnsi="Times New Roman;Times;Serif"/>
          <w:b w:val="false"/>
          <w:i w:val="false"/>
          <w:caps w:val="false"/>
          <w:smallCaps w:val="false"/>
          <w:sz w:val="20"/>
        </w:rPr>
        <w:t>”), as required by The Nasdaq Stock Market, certifying that, under Cayman Islands law and the Company’s currently effective Amended and Restated Memorandum and Articles of Association, the Company is not prohibited from adopting the corporate governance practices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Home Country Exemption Letter is furnished as Exhibit 99.1 to this Form 6-K. The foregoing descriptions do not purport to be complete and are qualified in their entirety by reference to the full text of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8" w:type="dxa"/>
        <w:jc w:val="left"/>
        <w:tblInd w:w="0" w:type="dxa"/>
        <w:tblLayout w:type="fixed"/>
        <w:tblCellMar>
          <w:top w:w="0" w:type="dxa"/>
          <w:left w:w="0" w:type="dxa"/>
          <w:bottom w:w="0" w:type="dxa"/>
          <w:right w:w="0" w:type="dxa"/>
        </w:tblCellMar>
      </w:tblPr>
      <w:tblGrid>
        <w:gridCol w:w="1820"/>
        <w:gridCol w:w="405"/>
        <w:gridCol w:w="656"/>
        <w:gridCol w:w="2107"/>
      </w:tblGrid>
      <w:tr>
        <w:trPr/>
        <w:tc>
          <w:tcPr>
            <w:tcW w:w="1820" w:type="dxa"/>
            <w:tcBorders/>
            <w:vAlign w:val="center"/>
          </w:tcPr>
          <w:p>
            <w:pPr>
              <w:pStyle w:val="TableContents"/>
              <w:bidi w:val="0"/>
              <w:spacing w:before="0" w:after="283"/>
              <w:jc w:val="left"/>
              <w:rPr>
                <w:sz w:val="20"/>
              </w:rPr>
            </w:pPr>
            <w:r>
              <w:rPr>
                <w:sz w:val="20"/>
              </w:rPr>
              <w:t>Date: October 8, 2026</w:t>
            </w:r>
          </w:p>
        </w:tc>
        <w:tc>
          <w:tcPr>
            <w:tcW w:w="3168" w:type="dxa"/>
            <w:gridSpan w:val="3"/>
            <w:tcBorders/>
            <w:vAlign w:val="center"/>
          </w:tcPr>
          <w:p>
            <w:pPr>
              <w:pStyle w:val="TableContents"/>
              <w:bidi w:val="0"/>
              <w:spacing w:before="0" w:after="283"/>
              <w:jc w:val="left"/>
              <w:rPr>
                <w:b/>
                <w:sz w:val="20"/>
              </w:rPr>
            </w:pPr>
            <w:r>
              <w:rPr>
                <w:b/>
                <w:sz w:val="20"/>
              </w:rPr>
              <w:t>AIR WATER VENTURES LIMITED</w:t>
            </w:r>
          </w:p>
        </w:tc>
      </w:tr>
      <w:tr>
        <w:trPr/>
        <w:tc>
          <w:tcPr>
            <w:tcW w:w="1820" w:type="dxa"/>
            <w:tcBorders/>
            <w:vAlign w:val="center"/>
          </w:tcPr>
          <w:p>
            <w:pPr>
              <w:pStyle w:val="TableContents"/>
              <w:bidi w:val="0"/>
              <w:spacing w:before="0" w:after="283"/>
              <w:jc w:val="left"/>
              <w:rPr/>
            </w:pPr>
            <w:r>
              <w:rPr/>
              <w:t> </w:t>
            </w:r>
          </w:p>
        </w:tc>
        <w:tc>
          <w:tcPr>
            <w:tcW w:w="3168" w:type="dxa"/>
            <w:gridSpan w:val="3"/>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sz w:val="20"/>
              </w:rPr>
            </w:pPr>
            <w:r>
              <w:rPr>
                <w:sz w:val="20"/>
              </w:rPr>
              <w:t xml:space="preserve">By: </w:t>
            </w:r>
          </w:p>
        </w:tc>
        <w:tc>
          <w:tcPr>
            <w:tcW w:w="2763"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David Tuerff</w:t>
            </w:r>
          </w:p>
        </w:tc>
      </w:tr>
      <w:tr>
        <w:trPr/>
        <w:tc>
          <w:tcPr>
            <w:tcW w:w="18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sz w:val="20"/>
              </w:rPr>
            </w:pPr>
            <w:r>
              <w:rPr>
                <w:sz w:val="20"/>
              </w:rPr>
              <w:t xml:space="preserve">Name: </w:t>
            </w:r>
          </w:p>
        </w:tc>
        <w:tc>
          <w:tcPr>
            <w:tcW w:w="2107" w:type="dxa"/>
            <w:tcBorders/>
            <w:vAlign w:val="center"/>
          </w:tcPr>
          <w:p>
            <w:pPr>
              <w:pStyle w:val="TableContents"/>
              <w:bidi w:val="0"/>
              <w:spacing w:before="0" w:after="283"/>
              <w:jc w:val="left"/>
              <w:rPr>
                <w:sz w:val="20"/>
              </w:rPr>
            </w:pPr>
            <w:r>
              <w:rPr>
                <w:sz w:val="20"/>
              </w:rPr>
              <w:t>David Tuerff</w:t>
            </w:r>
          </w:p>
        </w:tc>
      </w:tr>
      <w:tr>
        <w:trPr/>
        <w:tc>
          <w:tcPr>
            <w:tcW w:w="18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sz w:val="20"/>
              </w:rPr>
            </w:pPr>
            <w:r>
              <w:rPr>
                <w:sz w:val="20"/>
              </w:rPr>
              <w:t>Title:</w:t>
            </w:r>
          </w:p>
        </w:tc>
        <w:tc>
          <w:tcPr>
            <w:tcW w:w="2107"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3415" w:type="dxa"/>
        <w:jc w:val="left"/>
        <w:tblInd w:w="0" w:type="dxa"/>
        <w:tblLayout w:type="fixed"/>
        <w:tblCellMar>
          <w:top w:w="0" w:type="dxa"/>
          <w:left w:w="0" w:type="dxa"/>
          <w:bottom w:w="28" w:type="dxa"/>
          <w:right w:w="0" w:type="dxa"/>
        </w:tblCellMar>
      </w:tblPr>
      <w:tblGrid>
        <w:gridCol w:w="650"/>
        <w:gridCol w:w="60"/>
        <w:gridCol w:w="2705"/>
      </w:tblGrid>
      <w:tr>
        <w:trPr/>
        <w:tc>
          <w:tcPr>
            <w:tcW w:w="650" w:type="dxa"/>
            <w:tcBorders>
              <w:bottom w:val="single" w:sz="12" w:space="0" w:color="000000"/>
            </w:tcBorders>
            <w:vAlign w:val="center"/>
          </w:tcPr>
          <w:p>
            <w:pPr>
              <w:pStyle w:val="TableContents"/>
              <w:bidi w:val="0"/>
              <w:spacing w:before="0" w:after="283"/>
              <w:jc w:val="left"/>
              <w:rPr>
                <w:sz w:val="20"/>
              </w:rPr>
            </w:pPr>
            <w:r>
              <w:rPr>
                <w:sz w:val="20"/>
              </w:rPr>
              <w:t>Exhibit</w:t>
            </w:r>
          </w:p>
        </w:tc>
        <w:tc>
          <w:tcPr>
            <w:tcW w:w="60" w:type="dxa"/>
            <w:tcBorders/>
            <w:tcMar>
              <w:bottom w:w="0" w:type="dxa"/>
            </w:tcMar>
            <w:vAlign w:val="center"/>
          </w:tcPr>
          <w:p>
            <w:pPr>
              <w:pStyle w:val="TableContents"/>
              <w:bidi w:val="0"/>
              <w:spacing w:before="0" w:after="283"/>
              <w:jc w:val="left"/>
              <w:rPr/>
            </w:pPr>
            <w:r>
              <w:rPr/>
              <w:t> </w:t>
            </w:r>
          </w:p>
        </w:tc>
        <w:tc>
          <w:tcPr>
            <w:tcW w:w="2705"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65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left"/>
              <w:rPr/>
            </w:pPr>
            <w:hyperlink w:anchor="ea030815601ex99-1.htm">
              <w:r>
                <w:rPr>
                  <w:rStyle w:val="InternetLink"/>
                  <w:sz w:val="20"/>
                </w:rPr>
                <w:t>Home Country Exemption Letter</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815601ex99-1.htm"/>
      <w:bookmarkStart w:id="3" w:name="ksea030815601ex991"/>
      <w:bookmarkEnd w:id="2"/>
      <w:bookmarkEnd w:id="3"/>
      <w:r>
        <w:rPr>
          <w:b/>
        </w:rPr>
        <w:t>Exhibit 99.1</w:t>
      </w:r>
      <w:r>
        <w:br w:type="page"/>
      </w:r>
    </w:p>
    <w:p>
      <w:pPr>
        <w:pStyle w:val="TextBody"/>
        <w:bidi w:val="0"/>
        <w:spacing w:before="0" w:after="0"/>
        <w:jc w:val="center"/>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4020"/>
        <w:gridCol w:w="4025"/>
      </w:tblGrid>
      <w:tr>
        <w:trPr/>
        <w:tc>
          <w:tcPr>
            <w:tcW w:w="4020" w:type="dxa"/>
            <w:tcBorders/>
            <w:vAlign w:val="center"/>
          </w:tcPr>
          <w:p>
            <w:pPr>
              <w:pStyle w:val="TableContents"/>
              <w:bidi w:val="0"/>
              <w:spacing w:before="0" w:after="283"/>
              <w:jc w:val="left"/>
              <w:rPr/>
            </w:pPr>
            <w:r>
              <w:rPr/>
              <w:drawing>
                <wp:inline distT="0" distB="0" distL="0" distR="0">
                  <wp:extent cx="254317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43175" cy="381000"/>
                          </a:xfrm>
                          <a:prstGeom prst="rect">
                            <a:avLst/>
                          </a:prstGeom>
                        </pic:spPr>
                      </pic:pic>
                    </a:graphicData>
                  </a:graphic>
                </wp:inline>
              </w:drawing>
            </w:r>
          </w:p>
        </w:tc>
        <w:tc>
          <w:tcPr>
            <w:tcW w:w="4025" w:type="dxa"/>
            <w:tcBorders/>
            <w:vAlign w:val="center"/>
          </w:tcPr>
          <w:p>
            <w:pPr>
              <w:pStyle w:val="TableContents"/>
              <w:bidi w:val="0"/>
              <w:spacing w:before="0" w:after="283"/>
              <w:jc w:val="left"/>
              <w:rPr/>
            </w:pPr>
            <w:r>
              <w:rPr>
                <w:b/>
              </w:rPr>
              <w:t>CONYERS DILL &amp; PEARMAN LLP</w:t>
            </w:r>
            <w:r>
              <w:rPr/>
              <w:br/>
              <w:br/>
              <w:t>SIX, 2</w:t>
            </w:r>
            <w:r>
              <w:rPr>
                <w:position w:val="8"/>
                <w:sz w:val="19"/>
              </w:rPr>
              <w:t>nd</w:t>
            </w:r>
            <w:r>
              <w:rPr/>
              <w:t xml:space="preserve"> Floor, Cricket Square</w:t>
              <w:br/>
              <w:t>PO Box 2681, Grand Cayman KY1-1111</w:t>
              <w:br/>
              <w:t>Cayman Islands</w:t>
              <w:br/>
              <w:br/>
              <w:t>T +1 345 945 3901</w:t>
              <w:br/>
              <w:br/>
            </w:r>
            <w:r>
              <w:rPr>
                <w:b/>
              </w:rPr>
              <w:t>conyers.com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October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No.: 1020540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Stock Market,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Qualifications</w:t>
        <w:br/>
        <w:t>9600 Blackwell Road</w:t>
        <w:br/>
        <w:t>Fifth Floor</w:t>
        <w:br/>
        <w:t>Rockville, MD 20850</w:t>
        <w:br/>
        <w:t>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Madam</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365"/>
        <w:gridCol w:w="6860"/>
      </w:tblGrid>
      <w:tr>
        <w:trPr/>
        <w:tc>
          <w:tcPr>
            <w:tcW w:w="365" w:type="dxa"/>
            <w:tcBorders/>
            <w:vAlign w:val="center"/>
          </w:tcPr>
          <w:p>
            <w:pPr>
              <w:pStyle w:val="TableContents"/>
              <w:bidi w:val="0"/>
              <w:spacing w:before="0" w:after="283"/>
              <w:jc w:val="left"/>
              <w:rPr/>
            </w:pPr>
            <w:r>
              <w:rPr/>
              <w:t>Re:</w:t>
            </w:r>
          </w:p>
        </w:tc>
        <w:tc>
          <w:tcPr>
            <w:tcW w:w="6860" w:type="dxa"/>
            <w:tcBorders/>
            <w:vAlign w:val="center"/>
          </w:tcPr>
          <w:p>
            <w:pPr>
              <w:pStyle w:val="TableContents"/>
              <w:bidi w:val="0"/>
              <w:spacing w:before="0" w:after="283"/>
              <w:jc w:val="both"/>
              <w:rPr/>
            </w:pPr>
            <w:r>
              <w:rPr/>
              <w:t>Air Water Ventures Limited (the “Company”) – Home Country Practice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 as special Cayman Islands legal counsel to the Company in connection with the following by the Company of certain corporate governance practices in the absence of any established or normal practice in the Cayman Islands (“</w:t>
      </w:r>
      <w:r>
        <w:rPr>
          <w:rFonts w:ascii="Times New Roman;Times;Serif" w:hAnsi="Times New Roman;Times;Serif"/>
          <w:b/>
          <w:i w:val="false"/>
          <w:caps w:val="false"/>
          <w:smallCaps w:val="false"/>
          <w:sz w:val="20"/>
        </w:rPr>
        <w:t>Home Country Practice</w:t>
      </w:r>
      <w:r>
        <w:rPr>
          <w:rFonts w:ascii="Times New Roman;Times;Serif" w:hAnsi="Times New Roman;Times;Serif"/>
          <w:b w:val="false"/>
          <w:i w:val="false"/>
          <w:caps w:val="false"/>
          <w:smallCaps w:val="false"/>
          <w:sz w:val="20"/>
        </w:rPr>
        <w:t>”) and in lieu of certain requirements of the Nasdaq Marketplace Rule 5635(a), (b) and (d) (the “</w:t>
      </w:r>
      <w:r>
        <w:rPr>
          <w:rFonts w:ascii="Times New Roman;Times;Serif" w:hAnsi="Times New Roman;Times;Serif"/>
          <w:b/>
          <w:i w:val="false"/>
          <w:caps w:val="false"/>
          <w:smallCaps w:val="false"/>
          <w:sz w:val="20"/>
        </w:rPr>
        <w:t>NASDAQ Listing Rules</w:t>
      </w:r>
      <w:r>
        <w:rPr>
          <w:rFonts w:ascii="Times New Roman;Times;Serif" w:hAnsi="Times New Roman;Times;Serif"/>
          <w:b w:val="false"/>
          <w:i w:val="false"/>
          <w:caps w:val="false"/>
          <w:smallCaps w:val="false"/>
          <w:sz w:val="20"/>
        </w:rPr>
        <w:t>”) as set out in Annex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5615(a)(3) provides that a Foreign Private Issuer may follow its Home Country Practices, subject to certain exceptions, and the Company has elected to follow such Home Country Practices.</w:t>
      </w:r>
    </w:p>
    <w:p>
      <w:pPr>
        <w:pStyle w:val="TextBody"/>
        <w:bidi w:val="0"/>
        <w:spacing w:before="0" w:after="0"/>
        <w:ind w:left="720" w:right="0" w:hanging="720"/>
        <w:jc w:val="both"/>
        <w:rPr>
          <w:caps/>
        </w:rPr>
      </w:pPr>
      <w:r>
        <w:rPr>
          <w:caps/>
        </w:rPr>
        <w:t> </w:t>
      </w:r>
    </w:p>
    <w:tbl>
      <w:tblPr>
        <w:tblW w:w="3115" w:type="dxa"/>
        <w:jc w:val="left"/>
        <w:tblInd w:w="0" w:type="dxa"/>
        <w:tblLayout w:type="fixed"/>
        <w:tblCellMar>
          <w:top w:w="0" w:type="dxa"/>
          <w:left w:w="0" w:type="dxa"/>
          <w:bottom w:w="0" w:type="dxa"/>
          <w:right w:w="0" w:type="dxa"/>
        </w:tblCellMar>
      </w:tblPr>
      <w:tblGrid>
        <w:gridCol w:w="215"/>
        <w:gridCol w:w="2900"/>
      </w:tblGrid>
      <w:tr>
        <w:trPr/>
        <w:tc>
          <w:tcPr>
            <w:tcW w:w="215" w:type="dxa"/>
            <w:tcBorders/>
            <w:vAlign w:val="center"/>
          </w:tcPr>
          <w:p>
            <w:pPr>
              <w:pStyle w:val="TableContents"/>
              <w:bidi w:val="0"/>
              <w:spacing w:before="0" w:after="283"/>
              <w:jc w:val="left"/>
              <w:rPr/>
            </w:pPr>
            <w:r>
              <w:rPr/>
              <w:t>1.</w:t>
            </w:r>
          </w:p>
        </w:tc>
        <w:tc>
          <w:tcPr>
            <w:tcW w:w="2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DOCUMENTS REVIEWED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reviewed:</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1.1.</w:t>
            </w:r>
          </w:p>
        </w:tc>
        <w:tc>
          <w:tcPr>
            <w:tcW w:w="9839" w:type="dxa"/>
            <w:tcBorders/>
            <w:vAlign w:val="center"/>
          </w:tcPr>
          <w:p>
            <w:pPr>
              <w:pStyle w:val="TableContents"/>
              <w:bidi w:val="0"/>
              <w:spacing w:before="0" w:after="283"/>
              <w:jc w:val="both"/>
              <w:rPr/>
            </w:pPr>
            <w:r>
              <w:rPr/>
              <w:t>a copy of the Amended and Restated Memorandum and Articles of Association of the Company, each certified by an officer of the Company on 14 September 2026 (the “</w:t>
            </w:r>
            <w:r>
              <w:rPr>
                <w:b/>
              </w:rPr>
              <w:t>M&amp;A</w:t>
            </w:r>
            <w:r>
              <w:rPr/>
              <w:t>”);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1.2.</w:t>
            </w:r>
          </w:p>
        </w:tc>
        <w:tc>
          <w:tcPr>
            <w:tcW w:w="9829" w:type="dxa"/>
            <w:tcBorders/>
            <w:vAlign w:val="center"/>
          </w:tcPr>
          <w:p>
            <w:pPr>
              <w:pStyle w:val="TableContents"/>
              <w:bidi w:val="0"/>
              <w:spacing w:before="0" w:after="283"/>
              <w:jc w:val="both"/>
              <w:rPr/>
            </w:pPr>
            <w:r>
              <w:rPr/>
              <w:t>such other documents and made such enquiries as to questions of law as we have deemed necessary in order to render the opinion set forth below.</w:t>
            </w:r>
          </w:p>
        </w:tc>
      </w:tr>
    </w:tbl>
    <w:p>
      <w:pPr>
        <w:pStyle w:val="TextBody"/>
        <w:bidi w:val="0"/>
        <w:spacing w:before="0" w:after="0"/>
        <w:ind w:left="720" w:right="0" w:hanging="720"/>
        <w:jc w:val="both"/>
        <w:rPr>
          <w:caps/>
        </w:rPr>
      </w:pPr>
      <w:r>
        <w:rPr>
          <w:caps/>
        </w:rPr>
        <w:t> </w:t>
      </w:r>
    </w:p>
    <w:p>
      <w:pPr>
        <w:pStyle w:val="TextBody"/>
        <w:bidi w:val="0"/>
        <w:spacing w:before="0" w:after="0"/>
        <w:ind w:left="720" w:right="0" w:hanging="720"/>
        <w:jc w:val="center"/>
        <w:rPr>
          <w:bdr w:val="single" w:sz="12" w:space="1" w:color="000000"/>
        </w:rPr>
      </w:pPr>
      <w:r>
        <w:rPr>
          <w:bdr w:val="single" w:sz="12" w:space="1" w:color="000000"/>
        </w:rPr>
        <w:t> </w:t>
      </w:r>
    </w:p>
    <w:p>
      <w:pPr>
        <w:pStyle w:val="TextBody"/>
        <w:bidi w:val="0"/>
        <w:spacing w:before="0" w:after="0"/>
        <w:ind w:left="720" w:right="0" w:hanging="720"/>
        <w:jc w:val="both"/>
        <w:rPr>
          <w:caps/>
        </w:rPr>
      </w:pPr>
      <w:r>
        <w:rPr>
          <w:caps/>
        </w:rPr>
        <w:t> </w:t>
      </w:r>
    </w:p>
    <w:tbl>
      <w:tblPr>
        <w:tblW w:w="1945" w:type="dxa"/>
        <w:jc w:val="left"/>
        <w:tblInd w:w="0" w:type="dxa"/>
        <w:tblLayout w:type="fixed"/>
        <w:tblCellMar>
          <w:top w:w="0" w:type="dxa"/>
          <w:left w:w="0" w:type="dxa"/>
          <w:bottom w:w="0" w:type="dxa"/>
          <w:right w:w="0" w:type="dxa"/>
        </w:tblCellMar>
      </w:tblPr>
      <w:tblGrid>
        <w:gridCol w:w="215"/>
        <w:gridCol w:w="1730"/>
      </w:tblGrid>
      <w:tr>
        <w:trPr/>
        <w:tc>
          <w:tcPr>
            <w:tcW w:w="215" w:type="dxa"/>
            <w:tcBorders/>
            <w:vAlign w:val="center"/>
          </w:tcPr>
          <w:p>
            <w:pPr>
              <w:pStyle w:val="TableContents"/>
              <w:bidi w:val="0"/>
              <w:spacing w:before="0" w:after="283"/>
              <w:jc w:val="left"/>
              <w:rPr/>
            </w:pPr>
            <w:r>
              <w:rPr/>
              <w:t>2.</w:t>
            </w:r>
          </w:p>
        </w:tc>
        <w:tc>
          <w:tcPr>
            <w:tcW w:w="17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2.1.</w:t>
            </w:r>
          </w:p>
        </w:tc>
        <w:tc>
          <w:tcPr>
            <w:tcW w:w="9845" w:type="dxa"/>
            <w:tcBorders/>
            <w:vAlign w:val="center"/>
          </w:tcPr>
          <w:p>
            <w:pPr>
              <w:pStyle w:val="TableContents"/>
              <w:bidi w:val="0"/>
              <w:spacing w:before="0" w:after="283"/>
              <w:jc w:val="both"/>
              <w:rPr/>
            </w:pPr>
            <w:r>
              <w:rPr/>
              <w:t>the genuineness and authenticity of all signatures and the conformity to the originals of all copies (whether or not certified) examined by us and the authenticity and completeness of the originals from which such copies were taken;</w:t>
            </w:r>
          </w:p>
        </w:tc>
      </w:tr>
    </w:tbl>
    <w:p>
      <w:pPr>
        <w:pStyle w:val="TextBody"/>
        <w:bidi w:val="0"/>
        <w:spacing w:before="0" w:after="0"/>
        <w:ind w:left="720" w:right="0" w:hanging="72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395"/>
        <w:gridCol w:w="9440"/>
      </w:tblGrid>
      <w:tr>
        <w:trPr/>
        <w:tc>
          <w:tcPr>
            <w:tcW w:w="395" w:type="dxa"/>
            <w:tcBorders/>
            <w:vAlign w:val="center"/>
          </w:tcPr>
          <w:p>
            <w:pPr>
              <w:pStyle w:val="TableContents"/>
              <w:bidi w:val="0"/>
              <w:spacing w:before="0" w:after="283"/>
              <w:jc w:val="left"/>
              <w:rPr/>
            </w:pPr>
            <w:r>
              <w:rPr/>
              <w:t>2.2.</w:t>
            </w:r>
          </w:p>
        </w:tc>
        <w:tc>
          <w:tcPr>
            <w:tcW w:w="9440" w:type="dxa"/>
            <w:tcBorders/>
            <w:vAlign w:val="center"/>
          </w:tcPr>
          <w:p>
            <w:pPr>
              <w:pStyle w:val="TableContents"/>
              <w:bidi w:val="0"/>
              <w:spacing w:before="0" w:after="283"/>
              <w:jc w:val="both"/>
              <w:rPr/>
            </w:pPr>
            <w:r>
              <w:rPr/>
              <w:t>the accuracy and completeness of all factual representations made in the documents reviewed by us;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2.3.</w:t>
            </w:r>
          </w:p>
        </w:tc>
        <w:tc>
          <w:tcPr>
            <w:tcW w:w="9836" w:type="dxa"/>
            <w:tcBorders/>
            <w:vAlign w:val="center"/>
          </w:tcPr>
          <w:p>
            <w:pPr>
              <w:pStyle w:val="TableContents"/>
              <w:bidi w:val="0"/>
              <w:spacing w:before="0" w:after="283"/>
              <w:jc w:val="both"/>
              <w:rPr/>
            </w:pPr>
            <w:r>
              <w:rPr/>
              <w:t>that there is no provision of the law of any jurisdiction, other than the Cayman Islands, which would have any implication in relation to the opinions expressed herein;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2.4.</w:t>
            </w:r>
          </w:p>
        </w:tc>
        <w:tc>
          <w:tcPr>
            <w:tcW w:w="9813" w:type="dxa"/>
            <w:tcBorders/>
            <w:vAlign w:val="center"/>
          </w:tcPr>
          <w:p>
            <w:pPr>
              <w:pStyle w:val="TableContents"/>
              <w:bidi w:val="0"/>
              <w:spacing w:before="0" w:after="283"/>
              <w:jc w:val="both"/>
              <w:rPr/>
            </w:pPr>
            <w:r>
              <w:rPr/>
              <w:t>that following Home Country Practice in such circumstances will comply with the NASDAQ Listing Rules.</w:t>
            </w:r>
          </w:p>
        </w:tc>
      </w:tr>
    </w:tbl>
    <w:p>
      <w:pPr>
        <w:pStyle w:val="TextBody"/>
        <w:bidi w:val="0"/>
        <w:spacing w:before="0" w:after="0"/>
        <w:ind w:left="720" w:right="0" w:hanging="720"/>
        <w:jc w:val="both"/>
        <w:rPr>
          <w:caps/>
        </w:rPr>
      </w:pPr>
      <w:r>
        <w:rPr>
          <w:caps/>
        </w:rPr>
        <w:t> </w:t>
      </w:r>
    </w:p>
    <w:tbl>
      <w:tblPr>
        <w:tblW w:w="2290" w:type="dxa"/>
        <w:jc w:val="left"/>
        <w:tblInd w:w="0" w:type="dxa"/>
        <w:tblLayout w:type="fixed"/>
        <w:tblCellMar>
          <w:top w:w="0" w:type="dxa"/>
          <w:left w:w="0" w:type="dxa"/>
          <w:bottom w:w="0" w:type="dxa"/>
          <w:right w:w="0" w:type="dxa"/>
        </w:tblCellMar>
      </w:tblPr>
      <w:tblGrid>
        <w:gridCol w:w="215"/>
        <w:gridCol w:w="2075"/>
      </w:tblGrid>
      <w:tr>
        <w:trPr/>
        <w:tc>
          <w:tcPr>
            <w:tcW w:w="215" w:type="dxa"/>
            <w:tcBorders/>
            <w:vAlign w:val="center"/>
          </w:tcPr>
          <w:p>
            <w:pPr>
              <w:pStyle w:val="TableContents"/>
              <w:bidi w:val="0"/>
              <w:spacing w:before="0" w:after="283"/>
              <w:jc w:val="left"/>
              <w:rPr/>
            </w:pPr>
            <w:r>
              <w:rPr/>
              <w:t>3.</w:t>
            </w:r>
          </w:p>
        </w:tc>
        <w:tc>
          <w:tcPr>
            <w:tcW w:w="2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QUALIFICATIONS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pPr>
            <w:r>
              <w:rPr/>
              <w:t>3.1.</w:t>
            </w:r>
          </w:p>
        </w:tc>
        <w:tc>
          <w:tcPr>
            <w:tcW w:w="9860" w:type="dxa"/>
            <w:tcBorders/>
            <w:vAlign w:val="center"/>
          </w:tcPr>
          <w:p>
            <w:pPr>
              <w:pStyle w:val="TableContents"/>
              <w:bidi w:val="0"/>
              <w:spacing w:before="0" w:after="283"/>
              <w:jc w:val="both"/>
              <w:rPr/>
            </w:pPr>
            <w:r>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This opinion is issued solely for your benefit and use in connection with the matter described herein and is not to be relied upon by any other person, firm or entity or in respect of any other matter.</w:t>
            </w:r>
          </w:p>
        </w:tc>
      </w:tr>
    </w:tbl>
    <w:p>
      <w:pPr>
        <w:pStyle w:val="TextBody"/>
        <w:bidi w:val="0"/>
        <w:spacing w:before="0" w:after="0"/>
        <w:ind w:left="720" w:right="0" w:hanging="720"/>
        <w:jc w:val="both"/>
        <w:rPr>
          <w:caps/>
        </w:rPr>
      </w:pPr>
      <w:r>
        <w:rPr>
          <w:caps/>
        </w:rPr>
        <w:t> </w:t>
      </w:r>
    </w:p>
    <w:tbl>
      <w:tblPr>
        <w:tblW w:w="1255" w:type="dxa"/>
        <w:jc w:val="left"/>
        <w:tblInd w:w="0" w:type="dxa"/>
        <w:tblLayout w:type="fixed"/>
        <w:tblCellMar>
          <w:top w:w="0" w:type="dxa"/>
          <w:left w:w="0" w:type="dxa"/>
          <w:bottom w:w="0" w:type="dxa"/>
          <w:right w:w="0" w:type="dxa"/>
        </w:tblCellMar>
      </w:tblPr>
      <w:tblGrid>
        <w:gridCol w:w="215"/>
        <w:gridCol w:w="1040"/>
      </w:tblGrid>
      <w:tr>
        <w:trPr/>
        <w:tc>
          <w:tcPr>
            <w:tcW w:w="215" w:type="dxa"/>
            <w:tcBorders/>
            <w:vAlign w:val="center"/>
          </w:tcPr>
          <w:p>
            <w:pPr>
              <w:pStyle w:val="TableContents"/>
              <w:bidi w:val="0"/>
              <w:spacing w:before="0" w:after="283"/>
              <w:jc w:val="left"/>
              <w:rPr/>
            </w:pPr>
            <w:r>
              <w:rPr/>
              <w:t>4.</w:t>
            </w:r>
          </w:p>
        </w:tc>
        <w:tc>
          <w:tcPr>
            <w:tcW w:w="10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OPINION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we are of the opinion that the Company’s Home Country Practice relating to corporate governance set forth above is not prohibited by Cayman Islands law or the M&amp;A.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Conyers Dill &amp; Pearman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Conyers Dill &amp; Pearman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Rules Extract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5635.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Rule sets forth the circumstances under which shareholder approval is required prior to an issuance of securities in connection with: (i) the acquisition of the stock or assets of another company; (ii) equity-based compensation of officers, directors, employees or consultants; (iii) a change of control; and (iv) transactions other than public offerings. General provisions relating to shareholder approval are set forth in Rule 5635(e), and the financial viability exception to the shareholder approval requirement is set forth in Rule 5635(f). Nasdaq-listed Companies and their representatives are encouraged to use the interpretative letter process described in Rule 5602.</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290"/>
        <w:gridCol w:w="5285"/>
      </w:tblGrid>
      <w:tr>
        <w:trPr/>
        <w:tc>
          <w:tcPr>
            <w:tcW w:w="290" w:type="dxa"/>
            <w:tcBorders/>
            <w:vAlign w:val="center"/>
          </w:tcPr>
          <w:p>
            <w:pPr>
              <w:pStyle w:val="TableContents"/>
              <w:bidi w:val="0"/>
              <w:spacing w:before="0" w:after="283"/>
              <w:jc w:val="left"/>
              <w:rPr/>
            </w:pPr>
            <w:r>
              <w:rPr/>
              <w:t>(a)</w:t>
            </w:r>
          </w:p>
        </w:tc>
        <w:tc>
          <w:tcPr>
            <w:tcW w:w="5285" w:type="dxa"/>
            <w:tcBorders/>
            <w:vAlign w:val="center"/>
          </w:tcPr>
          <w:p>
            <w:pPr>
              <w:pStyle w:val="TableContents"/>
              <w:bidi w:val="0"/>
              <w:spacing w:before="0" w:after="283"/>
              <w:jc w:val="both"/>
              <w:rPr>
                <w:b/>
              </w:rPr>
            </w:pPr>
            <w:r>
              <w:rPr>
                <w:b/>
              </w:rPr>
              <w:t>Acquisition of Stock or Assets of Another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approval is required prior to the issuance of securities in connection with the acquisition of the stock or assets of another company if:</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where, due to the present or potential issuance of common stock, including shares issued pursuant to an earn-out provision or similar type of provision, or securities convertible into or exercisable for common stock, other than a public offering for cash:</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both"/>
              <w:rPr/>
            </w:pPr>
            <w:r>
              <w:rPr/>
              <w:t>the common stock has or will have upon issuance voting power equal to or in excess of 20% of the voting power outstanding before the issuance of stock or securities convertible into or exercisable for common stock;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(B)</w:t>
            </w:r>
          </w:p>
        </w:tc>
        <w:tc>
          <w:tcPr>
            <w:tcW w:w="9871" w:type="dxa"/>
            <w:tcBorders/>
            <w:vAlign w:val="center"/>
          </w:tcPr>
          <w:p>
            <w:pPr>
              <w:pStyle w:val="TableContents"/>
              <w:bidi w:val="0"/>
              <w:spacing w:before="0" w:after="283"/>
              <w:jc w:val="both"/>
              <w:rPr/>
            </w:pPr>
            <w:r>
              <w:rPr/>
              <w:t>the number of shares of common stock to be issued is or will be equal to or in excess of 20% of the number of shares of common stock outstanding before the issuance of the stock or securities;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both"/>
              <w:rPr/>
            </w:pPr>
            <w:r>
              <w:rPr/>
              <w:t>any director, officer or Substantial Shareholder (as defined by Rule 5635(e)(3)) of the Company has a 5% or greater interest (or such persons collectively have a 10% or greater interest), directly or indirectly, in the Company or assets to be acquired or in the consideration to be paid in the transaction or series of related transactions and the present or potential issuance of common stock, or securities convertible into or exercisable for common stock, could result in an increase in outstanding common shares or voting power of 5% or more; or</w:t>
            </w:r>
          </w:p>
        </w:tc>
      </w:tr>
    </w:tbl>
    <w:p>
      <w:pPr>
        <w:pStyle w:val="TextBody"/>
        <w:bidi w:val="0"/>
        <w:spacing w:before="0" w:after="0"/>
        <w:ind w:left="720" w:right="0" w:hanging="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05"/>
        <w:gridCol w:w="1940"/>
      </w:tblGrid>
      <w:tr>
        <w:trPr/>
        <w:tc>
          <w:tcPr>
            <w:tcW w:w="305" w:type="dxa"/>
            <w:tcBorders/>
            <w:vAlign w:val="center"/>
          </w:tcPr>
          <w:p>
            <w:pPr>
              <w:pStyle w:val="TableContents"/>
              <w:bidi w:val="0"/>
              <w:spacing w:before="0" w:after="283"/>
              <w:jc w:val="left"/>
              <w:rPr/>
            </w:pPr>
            <w:r>
              <w:rPr/>
              <w:t>(b)</w:t>
            </w:r>
          </w:p>
        </w:tc>
        <w:tc>
          <w:tcPr>
            <w:tcW w:w="1940" w:type="dxa"/>
            <w:tcBorders/>
            <w:vAlign w:val="center"/>
          </w:tcPr>
          <w:p>
            <w:pPr>
              <w:pStyle w:val="TableContents"/>
              <w:bidi w:val="0"/>
              <w:spacing w:before="0" w:after="283"/>
              <w:jc w:val="both"/>
              <w:rPr>
                <w:b/>
              </w:rPr>
            </w:pPr>
            <w:r>
              <w:rPr>
                <w:b/>
              </w:rPr>
              <w:t>Change of Control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approval is required prior to the issuance of securities when the issuance or potential issuance will result in a change of control of the Company.</w:t>
      </w:r>
    </w:p>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305"/>
        <w:gridCol w:w="4190"/>
      </w:tblGrid>
      <w:tr>
        <w:trPr/>
        <w:tc>
          <w:tcPr>
            <w:tcW w:w="305" w:type="dxa"/>
            <w:tcBorders/>
            <w:vAlign w:val="center"/>
          </w:tcPr>
          <w:p>
            <w:pPr>
              <w:pStyle w:val="TableContents"/>
              <w:bidi w:val="0"/>
              <w:spacing w:before="0" w:after="283"/>
              <w:jc w:val="left"/>
              <w:rPr/>
            </w:pPr>
            <w:r>
              <w:rPr/>
              <w:t>(d)</w:t>
            </w:r>
          </w:p>
        </w:tc>
        <w:tc>
          <w:tcPr>
            <w:tcW w:w="4190" w:type="dxa"/>
            <w:tcBorders/>
            <w:vAlign w:val="center"/>
          </w:tcPr>
          <w:p>
            <w:pPr>
              <w:pStyle w:val="TableContents"/>
              <w:bidi w:val="0"/>
              <w:spacing w:before="0" w:after="283"/>
              <w:jc w:val="both"/>
              <w:rPr>
                <w:b/>
              </w:rPr>
            </w:pPr>
            <w:r>
              <w:rPr>
                <w:b/>
              </w:rPr>
              <w:t>Transactions other than Public Offerings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817"/>
        <w:gridCol w:w="9281"/>
      </w:tblGrid>
      <w:tr>
        <w:trPr/>
        <w:tc>
          <w:tcPr>
            <w:tcW w:w="10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pPr>
            <w:r>
              <w:rPr/>
              <w:t>(1)</w:t>
            </w:r>
          </w:p>
        </w:tc>
        <w:tc>
          <w:tcPr>
            <w:tcW w:w="9281" w:type="dxa"/>
            <w:tcBorders/>
            <w:vAlign w:val="center"/>
          </w:tcPr>
          <w:p>
            <w:pPr>
              <w:pStyle w:val="TableContents"/>
              <w:bidi w:val="0"/>
              <w:spacing w:before="0" w:after="283"/>
              <w:jc w:val="both"/>
              <w:rPr/>
            </w:pPr>
            <w:r>
              <w:rPr/>
              <w:t>For purposes of this Rule 5635(d):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(A)</w:t>
            </w:r>
          </w:p>
        </w:tc>
        <w:tc>
          <w:tcPr>
            <w:tcW w:w="9874" w:type="dxa"/>
            <w:tcBorders/>
            <w:vAlign w:val="center"/>
          </w:tcPr>
          <w:p>
            <w:pPr>
              <w:pStyle w:val="TableContents"/>
              <w:bidi w:val="0"/>
              <w:spacing w:before="0" w:after="283"/>
              <w:jc w:val="both"/>
              <w:rPr/>
            </w:pPr>
            <w:r>
              <w:rPr/>
              <w:t>“</w:t>
            </w:r>
            <w:r>
              <w:rPr/>
              <w:t>Minimum Price” means a price that is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283"/>
              <w:jc w:val="both"/>
              <w:rPr/>
            </w:pPr>
            <w:r>
              <w:rPr/>
              <w:t>“</w:t>
            </w:r>
            <w:r>
              <w:rPr/>
              <w:t>20% Issuance” means a transaction, other than a public offering as defined in IM-5635-3, involving the sale, issuance or potential issuance by the Company of common stock (or securities convertible into or exercisable for common stock), which alone or together with sales by officers, directors or Substantial Shareholders of the Company, equals 20% or more of the common stock or 20% or more of the voting power outstanding before the issuance.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(2)</w:t>
            </w:r>
          </w:p>
        </w:tc>
        <w:tc>
          <w:tcPr>
            <w:tcW w:w="9873" w:type="dxa"/>
            <w:tcBorders/>
            <w:vAlign w:val="center"/>
          </w:tcPr>
          <w:p>
            <w:pPr>
              <w:pStyle w:val="TableContents"/>
              <w:bidi w:val="0"/>
              <w:spacing w:before="0" w:after="283"/>
              <w:jc w:val="both"/>
              <w:rPr/>
            </w:pPr>
            <w:r>
              <w:rPr/>
              <w:t>Shareholder approval is required prior to a 20% Issuance at a price that is less than the Minimum Price.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3</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1673</Words>
  <Characters>8711</Characters>
  <CharactersWithSpaces>10369</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